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  <w:t>вступает в силу 24.12.2017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23 июня 2017 г. N 47160</w:t>
      </w:r>
    </w:p>
    <w:p w:rsidR="00B47CB1" w:rsidRDefault="00B47CB1" w:rsidP="00B47CB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ТРАНСПОРТА РОССИЙСКОЙ ФЕДЕРАЦИИ</w:t>
      </w: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6 апреля 2017 г. N 141</w:t>
      </w: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</w:t>
      </w: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И ПРОВЕДЕНИЯ ПРЕДРЕЙСОВОГО КОНТРОЛЯ</w:t>
      </w: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ТЕХНИЧЕСКОГО СОСТОЯНИЯ ТРАНСПОРТНЫХ СРЕДСТВ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 (ч. 1), ст. 5498;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2007, N 46, ст. 5553, N 49, ст. 6070; 2009, N 1, ст. 21, N 48, ст. 5717; 2010, N 30, ст. 4000, N 31, ст. 4196; 2011, N 17, ст. 2310, N 27, ст. 3881, N 29, ст. 4283, N 30 (ч. 1), ст. 4590, ст. 4596; 2012, N 25, ст. 3268, N 31, ст. 4320;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17, ст. 2032, N 19, ст. 2319, N 27, ст. 3477, N 30 (ч. 1), ст. 4029, N 48, ст. 6165, N 52 (ч. 1), ст. 7002; 2014, N 42, ст. 5615; 2015, N 24, ст. 3370, N 29 (ч. 1), ст. 4359, N 48 (ч. 1), ст. 6706, ст. 6723;</w:t>
      </w:r>
      <w:proofErr w:type="gramEnd"/>
      <w:r>
        <w:rPr>
          <w:rFonts w:ascii="Arial" w:hAnsi="Arial" w:cs="Arial"/>
          <w:sz w:val="20"/>
          <w:szCs w:val="20"/>
        </w:rPr>
        <w:t xml:space="preserve"> 2016, N 15, ст. 2066, N 18, ст. 2502, N 27 (ч. 1), ст. 4192, ст. 4229) приказываю: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организации и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технического состояния транспортных средств.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по истечении 180 дней со дня его официального опубликования.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М.Ю.СОКОЛОВ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Минтранса России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апреля 2017 г. N 141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И ПРОВЕДЕНИЯ ПРЕДРЕЙСОВОГО КОНТРОЛЯ</w:t>
      </w:r>
    </w:p>
    <w:p w:rsidR="00B47CB1" w:rsidRDefault="00B47CB1" w:rsidP="00B47C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ТЕХНИЧЕСКОГО СОСТОЯНИЯ ТРАНСПОРТНЫХ СРЕДСТВ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организации и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технического состояния транспортных средств (далее - Порядок) устанавливает требования к организации и проведению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технического состояния транспортных средств (далее -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контроль) с целью исключения выпуска на линию технически неисправных транспортных средств.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Порядок обязателен для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субъекты транспортной деятельности).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 проводится до выезда транспортного средства с места его постоянной стоянки.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(далее - контролер), на которого субъектом транспортной деятельности возложены обязанности по проведению такого контроля.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Контролер должен соответствовать Профессиональным и квалификационным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требованиям</w:t>
        </w:r>
      </w:hyperlink>
      <w:r>
        <w:rPr>
          <w:rFonts w:ascii="Arial" w:hAnsi="Arial" w:cs="Arial"/>
          <w:sz w:val="20"/>
          <w:szCs w:val="20"/>
        </w:rPr>
        <w:t xml:space="preserve">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 Федерации от 28 сентября 2015 г. N 287 &lt;1&gt;.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транспорта Российской Федерации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Министерством юстиции Российской Федерации 9 декабря 2015 г., регистрационный N 40032).</w:t>
      </w:r>
      <w:proofErr w:type="gramEnd"/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При проведении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проверяется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технического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регламента</w:t>
        </w:r>
      </w:hyperlink>
      <w:r>
        <w:rPr>
          <w:rFonts w:ascii="Arial" w:hAnsi="Arial" w:cs="Arial"/>
          <w:sz w:val="20"/>
          <w:szCs w:val="20"/>
        </w:rPr>
        <w:t xml:space="preserve"> Таможенного союза "О безопасности колесных транспортных средств" &lt;2&gt; (далее - технический регламент),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- Правительства Российской Федерации от 23 октября 1993 г. N 1090 "О правилах дорожного движения" &lt;3&gt;.</w:t>
      </w:r>
      <w:proofErr w:type="gramEnd"/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Комиссии Таможенного союза от 9 декабря 2011 г. N 877 "О принятии технического регламента Таможенного союза "О безопасности колесных транспортных средств"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 (с учетом внесенных изменений).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&lt;3&gt; Собрание законодательства Российской Федерации, 1993, N 47, ст. 4531; 1996, N 3, ст. 184; 1998, N 45, ст. 5521; 2000, N 18, ст. 1985; 2001, N 11, ст. 1029; 2002, N 9, ст. 931, N 27, ст. 2693; 2003, N 20, ст. 1899, N 40, ст. 3891; 2005, N 52 (ч. III), ст. 5733;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2006, N 11, ст. 1179; 2008, N 8, ст. 741; N 17, ст. 1882; 2009, N 2, ст. 233; N 5, ст. 610; 2010, N 9, ст. 976, N 20, ст. 2471; 2011, N 42, ст. 5922; 2012, N 1, ст. 154, N 15, ст. 1780, N 30, ст. 4289, N 47, ст. 6505;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5, ст. 371, ст. 404, N 24, ст. 2999, N 29, ст. 3966, N 31, ст. 4218, N 41, ст. 5194, N 52 (ч. II), ст. 7173; 2014, N 14, ст. 1625, N 21, ст. 2707, N 32, ст. 4487, N 38, ст. 5062, N 44, ст. 6063, N 47, ст. 6557;</w:t>
      </w:r>
      <w:proofErr w:type="gramEnd"/>
      <w:r>
        <w:rPr>
          <w:rFonts w:ascii="Arial" w:hAnsi="Arial" w:cs="Arial"/>
          <w:sz w:val="20"/>
          <w:szCs w:val="20"/>
        </w:rPr>
        <w:t xml:space="preserve"> 2015, N 1 (ч. II), ст. 223, N 15, ст. 2276, N 17 (ч. IV), ст. 2568, N 27, ст. 4083, N 46, ст. 6376; 2016, N 5, ст. 694, N 23, ст. 3325, N 31, ст. 5018, N 31, ст. 5029, N 38, ст. 5553.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5"/>
      <w:bookmarkEnd w:id="1"/>
      <w:r>
        <w:rPr>
          <w:rFonts w:ascii="Arial" w:hAnsi="Arial" w:cs="Arial"/>
          <w:sz w:val="20"/>
          <w:szCs w:val="20"/>
        </w:rPr>
        <w:t xml:space="preserve">6. При проведении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должны быть проверены: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исправность: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тормозной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рулевого управления;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стеклоомывателей;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колес и шин (кроме трамвая);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звукового сигнала;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тахографа</w:t>
      </w:r>
      <w:proofErr w:type="spellEnd"/>
      <w:r>
        <w:rPr>
          <w:rFonts w:ascii="Arial" w:hAnsi="Arial" w:cs="Arial"/>
          <w:sz w:val="20"/>
          <w:szCs w:val="20"/>
        </w:rPr>
        <w:t xml:space="preserve"> (если обязательность его установки предусмотрена законодательством Российской Федерации);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аппаратуры спутниковой навигации и устройств вызова экстренных оперативных служб (если обязательность их установки предусмотрена законодательством Российской Федерации);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исправность </w:t>
      </w: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конструкцией транспортного средства: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замков дверей кузова или кабины,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 фиксации подушки и спинки водительского сиденья;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устройств обогрева и обдува стекол;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тягово-сцепного устройства, а также страховочных тросов (цепей);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держателя запасного колеса (кроме трамвая);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фиксаторов транспортного положения опор полуприцепов (при наличии);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наличие </w:t>
      </w: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конструкцией транспортного средства: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индикации на щитке приборов, свидетельствующей о неисправности, влияющей на безопасность движения (проверяется при работающем двигателе);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стекол и обзорности с места водителя;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зеркал заднего вида и их креплений;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заднего защитного устройства, грязезащитных фартуков и брызговиков;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ремней безопасности (в установленных законодательством случаях) и (или) подголовников сидений и их работоспособность;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работоспособность в установленном режиме: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стеклоочистителей;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внешних световых приборов и </w:t>
      </w:r>
      <w:proofErr w:type="spellStart"/>
      <w:r>
        <w:rPr>
          <w:rFonts w:ascii="Arial" w:hAnsi="Arial" w:cs="Arial"/>
          <w:sz w:val="20"/>
          <w:szCs w:val="20"/>
        </w:rPr>
        <w:t>световозвращателей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отсутствие внесенных в конструкцию транспортного средства изменений в нарушение установленного порядка, предусмотренного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разделом 4</w:t>
        </w:r>
      </w:hyperlink>
      <w:r>
        <w:rPr>
          <w:rFonts w:ascii="Arial" w:hAnsi="Arial" w:cs="Arial"/>
          <w:sz w:val="20"/>
          <w:szCs w:val="20"/>
        </w:rPr>
        <w:t xml:space="preserve"> главы V технического регламента, в части газобаллонного оборудования, кузовов транспортных средств, бортов грузовой платформы (для грузовых транспортных средств), дополнительных сидений;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дополнительно для транспортных средств городского наземного электрического транспорта: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и крепление колесных пар и трамвайных тележек (для трамвая);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силы тока утечки предельно допустимым значениям;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исправность: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токоприемников;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тяговых двигателей, вспомогательных электрических машин, пускорегулирующей и защитной аппаратуры, вспомогательных цепей, аккумуляторной батареи;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контрольно-измерительных приборов электрического оборудования.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0"/>
      <w:bookmarkEnd w:id="2"/>
      <w:r>
        <w:rPr>
          <w:rFonts w:ascii="Arial" w:hAnsi="Arial" w:cs="Arial"/>
          <w:sz w:val="20"/>
          <w:szCs w:val="20"/>
        </w:rPr>
        <w:t xml:space="preserve">7. При наличии конструктивных особенностей специальных и специализированных транспортных средств контролер должен проверить состояние и исправность других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приложений N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8</w:t>
        </w:r>
      </w:hyperlink>
      <w:r>
        <w:rPr>
          <w:rFonts w:ascii="Arial" w:hAnsi="Arial" w:cs="Arial"/>
          <w:sz w:val="20"/>
          <w:szCs w:val="20"/>
        </w:rPr>
        <w:t xml:space="preserve"> к техническому регламенту.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 </w:t>
      </w:r>
      <w:proofErr w:type="spellStart"/>
      <w:r>
        <w:rPr>
          <w:rFonts w:ascii="Arial" w:hAnsi="Arial" w:cs="Arial"/>
          <w:sz w:val="20"/>
          <w:szCs w:val="20"/>
        </w:rPr>
        <w:t>предрейсовом</w:t>
      </w:r>
      <w:proofErr w:type="spellEnd"/>
      <w:r>
        <w:rPr>
          <w:rFonts w:ascii="Arial" w:hAnsi="Arial" w:cs="Arial"/>
          <w:sz w:val="20"/>
          <w:szCs w:val="20"/>
        </w:rPr>
        <w:t xml:space="preserve"> контроле не выявлены несоответствия требованиям, перечисленным в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16.1</w:t>
        </w:r>
      </w:hyperlink>
      <w:r>
        <w:rPr>
          <w:rFonts w:ascii="Arial" w:hAnsi="Arial" w:cs="Arial"/>
          <w:sz w:val="20"/>
          <w:szCs w:val="20"/>
        </w:rPr>
        <w:t xml:space="preserve"> порядка заполнения путевых листов, утвержденного приказом Министерства транспорта Российской Федерации от 18 сентября </w:t>
      </w:r>
      <w:r>
        <w:rPr>
          <w:rFonts w:ascii="Arial" w:hAnsi="Arial" w:cs="Arial"/>
          <w:sz w:val="20"/>
          <w:szCs w:val="20"/>
        </w:rPr>
        <w:lastRenderedPageBreak/>
        <w:t xml:space="preserve">2008 г. N 152 &lt;4&gt;, ставится отметка "прошел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 технического состояния" и подпись с указанием фамилии и инициалов контролера, проводившего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контроль, даты и времени его проведения.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транспорта Российской Федерации от 18 сентября 2008 г. N 152 "Об утверждении обязательных реквизитов и порядка заполнения путевых листов" (зарегистрирован Министерством юстиции Российской Федерации 8 октября 2008 г., регистрационный N 12414) с изменениями, внесенными приказом Министерства транспорта Российской Федерации от 18 января 2017 г. N 17 (зарегистрирован Министерством юстиции Российской Федерации 13 февраля 2017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45612).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целях оценки работоспособности, исправности и состояния узлов, агрегатов, механизмов и систем транспортного средства, проверка которых была осуществлена без использования средств технического диагностирования, субъект транспортной деятельности вправе организовать диагностику технического состояния данных узлов, агрегатов, механизмов и систем с использованием необходимого оборудования, средств измерений и инструментов. Средства измерений, используемые для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контроля, должны быть </w:t>
      </w:r>
      <w:proofErr w:type="spellStart"/>
      <w:r>
        <w:rPr>
          <w:rFonts w:ascii="Arial" w:hAnsi="Arial" w:cs="Arial"/>
          <w:sz w:val="20"/>
          <w:szCs w:val="20"/>
        </w:rPr>
        <w:t>метрологически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поверены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Выпуск транспортного средства на линию без отметки о прохождении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и подписи контролера не допускается.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Субъект транспортной деятельности должен вести учет прохождения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контроля. Журнал регистрации результатов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должен содержать следующие реквизиты: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марки, модели транспортного средства;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государственный регистрационный знак транспортного средства;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фамилия, имя, отчество (при наличии) водителя транспортного средства;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фамилия, имя, отчество (при наличии) контролера, проводившего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дата, время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показания одометра (полные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пробега) при проведении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отметка о прохождении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подпись водителя транспортного средства;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подпись контролера, проводившего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контроль.</w:t>
      </w:r>
    </w:p>
    <w:p w:rsidR="00B47CB1" w:rsidRDefault="00B47CB1" w:rsidP="00B47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журнале регистрации результатов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B1" w:rsidRDefault="00B47CB1" w:rsidP="00B47CB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6649D" w:rsidRDefault="0016649D"/>
    <w:sectPr w:rsidR="0016649D" w:rsidSect="00BE4D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47CB1"/>
    <w:rsid w:val="0016649D"/>
    <w:rsid w:val="00B4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81FFC7C75FEF478FF58F6ABDDCC358A2E65FDE41EB37B6F0B7CC7CCF53A2A794159F5E658EFDAsFY1M" TargetMode="External"/><Relationship Id="rId13" Type="http://schemas.openxmlformats.org/officeDocument/2006/relationships/hyperlink" Target="consultantplus://offline/ref=A6181FFC7C75FEF478FF58F6ABDDCC358A2E65FDE41EB37B6F0B7CC7CCF53A2A794159F5E65BEFD8sF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181FFC7C75FEF478FF58F6ABDDCC358A2F68F6E318B37B6F0B7CC7CCsFY5M" TargetMode="External"/><Relationship Id="rId12" Type="http://schemas.openxmlformats.org/officeDocument/2006/relationships/hyperlink" Target="consultantplus://offline/ref=A6181FFC7C75FEF478FF58F6ABDDCC358A2E65FDE41EB37B6F0B7CC7CCF53A2A794159F5E659E6DEsFYC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81FFC7C75FEF478FF58F6ABDDCC358A2F68F6E318B37B6F0B7CC7CCF53A2A794159F5E658EFD8sFY4M" TargetMode="External"/><Relationship Id="rId11" Type="http://schemas.openxmlformats.org/officeDocument/2006/relationships/hyperlink" Target="consultantplus://offline/ref=A6181FFC7C75FEF478FF58F6ABDDCC358A2E65FDE41EB37B6F0B7CC7CCF53A2A794159F5E658EBDFsFYCM" TargetMode="External"/><Relationship Id="rId5" Type="http://schemas.openxmlformats.org/officeDocument/2006/relationships/hyperlink" Target="consultantplus://offline/ref=A6181FFC7C75FEF478FF58F6ABDDCC358A2C6DFCE115B37B6F0B7CC7CCF53A2A794159F5EFs5YFM" TargetMode="External"/><Relationship Id="rId15" Type="http://schemas.openxmlformats.org/officeDocument/2006/relationships/hyperlink" Target="consultantplus://offline/ref=A6181FFC7C75FEF478FF58F6ABDDCC358A2669F4E71DB37B6F0B7CC7CCsFY5M" TargetMode="External"/><Relationship Id="rId10" Type="http://schemas.openxmlformats.org/officeDocument/2006/relationships/hyperlink" Target="consultantplus://offline/ref=A6181FFC7C75FEF478FF58F6ABDDCC358A2E65FDE41EB37B6F0B7CC7CCsFY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181FFC7C75FEF478FF58F6ABDDCC358A266CFCE414B37B6F0B7CC7CCsFY5M" TargetMode="External"/><Relationship Id="rId14" Type="http://schemas.openxmlformats.org/officeDocument/2006/relationships/hyperlink" Target="consultantplus://offline/ref=A6181FFC7C75FEF478FF58F6ABDDCC358A2669F4E71DB37B6F0B7CC7CCF53A2A794159sF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10566</Characters>
  <Application>Microsoft Office Word</Application>
  <DocSecurity>0</DocSecurity>
  <Lines>88</Lines>
  <Paragraphs>24</Paragraphs>
  <ScaleCrop>false</ScaleCrop>
  <Company>Microsoft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2017-12-17T12:24:00Z</dcterms:created>
  <dcterms:modified xsi:type="dcterms:W3CDTF">2017-12-17T12:24:00Z</dcterms:modified>
</cp:coreProperties>
</file>