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Объявление </w:t>
      </w:r>
      <w:r>
        <w:rPr>
          <w:rFonts w:ascii="Times New Roman" w:hAnsi="Times New Roman" w:cs="Times New Roman"/>
          <w:sz w:val="32"/>
          <w:szCs w:val="32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приеме документов для заключения договора пользования водными биологическими ресурсами. общий допустимый улов которых не устанавливается на 2024 год</w:t>
      </w:r>
      <w:r>
        <w:rPr>
          <w:rFonts w:ascii="Times New Roman" w:hAnsi="Times New Roman" w:cs="Times New Roman"/>
          <w:sz w:val="32"/>
          <w:szCs w:val="32"/>
        </w:rPr>
      </w:r>
      <w:r/>
    </w:p>
    <w:p>
      <w:pPr>
        <w:ind w:left="0" w:right="0" w:firstLine="708"/>
        <w:jc w:val="both"/>
        <w:spacing w:before="240" w:after="24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целях реализации постановления Правительства Российской Федерации от 25.08.2008 года № 643 «О подготовке и заключении договора пользования водными биологическими ресурсами, общий допустимый улов которых не устанавливается» и приказа Минсельхоза России 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 07.04.2016 года № 134 «Об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заключению с юридическими ли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цами и индивидуальными предпринимателями договоров пользования водными биологическими ресурсами, общий допустимый улов которых не устанавливается» Департамент промышленности Ханты-Мансийского автономного округа – Югры объявляет о приёме заявлений от юридич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еских лиц и индивидуальных предпринимателей для заключения договора пользования водными биологическими ресурсами, общий допустимый улов которых не устанавливается, на 2024 год. </w:t>
      </w:r>
      <w:r>
        <w:rPr>
          <w:sz w:val="28"/>
          <w:szCs w:val="28"/>
        </w:rPr>
      </w:r>
      <w:r/>
    </w:p>
    <w:p>
      <w:pPr>
        <w:ind w:left="0" w:right="0" w:firstLine="708"/>
        <w:jc w:val="both"/>
        <w:spacing w:before="240" w:after="24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Сроки, орудия, способы добычи (вылова) водных биологических ресурсов, общий допустимый улов которых не устанавливается, определены Правилами рыболовства для Западно - Сибирского рыбохозяйственного бассейна, утвержденными приказом Министерства сельского хо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зяйства Российской Федерации от 30.10.2020 № 646 и иными нормативными правовыми актами федеральных органов государственной власти в области рыболовства и сохранения водных биологических ресурсов.</w:t>
      </w:r>
      <w:r>
        <w:rPr>
          <w:sz w:val="28"/>
          <w:szCs w:val="28"/>
        </w:rPr>
      </w:r>
      <w:r/>
    </w:p>
    <w:p>
      <w:pPr>
        <w:ind w:left="0" w:right="0" w:firstLine="708"/>
        <w:jc w:val="both"/>
        <w:spacing w:before="240" w:after="24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Для заключения Договоров в отношении водных биологических ресурсов Ханты-Мансийского автономного округа – Югры, юридические лица и индивидуальные предприниматели в установленном порядке, имеют право подать заявления в Департамент промышленности Ханты-Манс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ийского автономного округа – Югры.</w:t>
      </w:r>
      <w:r>
        <w:rPr>
          <w:sz w:val="28"/>
          <w:szCs w:val="28"/>
        </w:rPr>
      </w:r>
      <w:r/>
    </w:p>
    <w:p>
      <w:pPr>
        <w:ind w:left="0" w:right="0" w:firstLine="708"/>
        <w:jc w:val="both"/>
        <w:spacing w:before="240" w:after="24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Заявления направляются по форме, утвержденной приказом Министерства сельского хозяйства Российской Федерации от 06.04.2020  № 178 «Об утверждении формы заявления о заключении договора пользования водными биологическими ресурсами, общий допустимый улов кот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орых не устанавливается» с приложением соответствующих документов: в случае, если рыболовство осуществляется с использованием судов, заверенные в установленном законодательством Российской Федерации порядке копии следующих документов, подтверждающих имущес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твенные права заявителя на собственные или арендованные суда, используемые для добычи (вылова) водных биологических ресурсов, плавающие под Государственным флагом Российской Федерации и зарегистрированные в установленном законодательством Российской Федера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ции порядке: 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240" w:after="24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- договор аренды - для арендованных судов;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240" w:after="24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- свидетельство о праве собственности на судно, а для судов с главным двигателем мощностью менее 55 киловатт и валовой вместимостью менее 80 тонн - судовой билет;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240" w:after="24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- заверенный в установленном законодательством Российской Федерацией порядке документ, подтверждающий наличие на судне технических средств контроля, обеспечивающих постоянную автоматическую передачу информации о местоположении судна (в случае, если рыболо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вство осуществляется с использованием самоходных судов с главным двигателем мощностью более 55 киловатт и валовой вместимостью более 80 тонн).</w:t>
      </w:r>
      <w:r>
        <w:rPr>
          <w:sz w:val="28"/>
          <w:szCs w:val="28"/>
        </w:rPr>
      </w:r>
      <w:r/>
    </w:p>
    <w:p>
      <w:pPr>
        <w:ind w:left="0" w:right="0" w:firstLine="708"/>
        <w:jc w:val="both"/>
        <w:spacing w:before="240" w:after="240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Документы предоставляются непосредственно, либо в виде почтового отправления по адресу: ул. Рознина, д. 64, каб. 305, 306, г. Ханты-Мансийск, Ханты-Мансийский автономный округ – Югра, 628011. Контактные телефоны: 8(3467)353-404 добавочный номер 3834 (Слепокуров Аким Вале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рьевич), добавочный номер 3833 (Иванова Снежана Гелимхановна),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добавочный номер 3878 (Кошкарова Ксения Николаевна),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добавочный номер 3835 (Гындышева Светлана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Кирилловна).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240" w:after="24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r>
        <w:rPr>
          <w:sz w:val="28"/>
          <w:szCs w:val="28"/>
        </w:rPr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240" w:after="240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right"/>
        <w:spacing w:before="240" w:after="24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right"/>
        <w:spacing w:before="240" w:after="24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right"/>
        <w:spacing w:before="240" w:after="24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right"/>
        <w:spacing w:before="240" w:after="24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contextualSpacing w:val="0"/>
        <w:ind w:left="0" w:right="0" w:firstLine="0"/>
        <w:jc w:val="right"/>
        <w:spacing w:before="0" w:after="0" w:line="17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Приложение 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/>
    </w:p>
    <w:p>
      <w:pPr>
        <w:contextualSpacing w:val="0"/>
        <w:ind w:left="0" w:right="0" w:firstLine="0"/>
        <w:jc w:val="right"/>
        <w:spacing w:before="0" w:after="0" w:line="17" w:lineRule="atLeast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</w:rPr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к объявлению Федерального агентства по рыболовству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/>
    </w:p>
    <w:p>
      <w:pPr>
        <w:contextualSpacing w:val="0"/>
        <w:ind w:left="0" w:right="0" w:firstLine="0"/>
        <w:jc w:val="right"/>
        <w:spacing w:before="0" w:after="0" w:line="1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о подготовке и заключении</w:t>
      </w:r>
      <w:r/>
    </w:p>
    <w:p>
      <w:pPr>
        <w:contextualSpacing w:val="0"/>
        <w:ind w:left="0" w:right="0" w:firstLine="0"/>
        <w:jc w:val="right"/>
        <w:spacing w:before="0" w:after="0" w:line="1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договоров пользования водными</w:t>
      </w:r>
      <w:r/>
    </w:p>
    <w:p>
      <w:pPr>
        <w:contextualSpacing w:val="0"/>
        <w:ind w:left="0" w:right="0" w:firstLine="0"/>
        <w:jc w:val="right"/>
        <w:spacing w:before="0" w:after="0" w:line="1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биологическими ресурсами,</w:t>
      </w:r>
      <w:r/>
    </w:p>
    <w:p>
      <w:pPr>
        <w:contextualSpacing w:val="0"/>
        <w:ind w:left="0" w:right="0" w:firstLine="0"/>
        <w:jc w:val="right"/>
        <w:spacing w:before="0" w:after="0" w:line="1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общий допустимый улов которых</w:t>
      </w:r>
      <w:r/>
    </w:p>
    <w:p>
      <w:pPr>
        <w:contextualSpacing w:val="0"/>
        <w:ind w:left="0" w:right="0" w:firstLine="0"/>
        <w:jc w:val="right"/>
        <w:spacing w:before="0" w:after="0" w:line="1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не устанавливается, на 2024 год</w:t>
      </w:r>
      <w:r/>
    </w:p>
    <w:p>
      <w:pPr>
        <w:ind w:left="0" w:right="0" w:firstLine="0"/>
        <w:jc w:val="right"/>
        <w:spacing w:before="240" w:after="240" w:line="1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240" w:after="240" w:line="1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Таблица 71</w:t>
      </w:r>
      <w:r/>
    </w:p>
    <w:p>
      <w:pPr>
        <w:ind w:left="0" w:right="0" w:firstLine="0"/>
        <w:jc w:val="right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240" w:after="240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ПЕРЕЧЕНЬ </w:t>
      </w:r>
      <w:r/>
    </w:p>
    <w:p>
      <w:pPr>
        <w:ind w:left="0" w:right="0" w:firstLine="0"/>
        <w:jc w:val="center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видов водных биологических ресурсов, общий допустимый улов которых не устанавливается, и районов их добычи (вылова) во внутренних водных объектах (</w:t>
      </w: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Рекомендованные объёмы добычи (вылова) водных биоресурсов, общий допустимый улов которых не устанавливается, и районов их добычи (вылова) во внутренних водах Российской Федерации на 2024 год.)</w:t>
      </w:r>
      <w:r/>
    </w:p>
    <w:p>
      <w:pPr>
        <w:ind w:left="0" w:right="0" w:firstLine="0"/>
        <w:jc w:val="center"/>
        <w:spacing w:before="57" w:beforeAutospacing="0" w:after="57" w:afterAutospacing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Водные объекты Ханты-Мансийского автономного округа – Югры</w:t>
      </w:r>
      <w:r/>
    </w:p>
    <w:tbl>
      <w:tblPr>
        <w:tblStyle w:val="668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3260"/>
        <w:gridCol w:w="3544"/>
      </w:tblGrid>
      <w:tr>
        <w:trPr/>
        <w:tc>
          <w:tcPr>
            <w:gridSpan w:val="2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before="240" w:after="24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Водные биологические ресурсы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jc w:val="center"/>
              <w:spacing w:before="240" w:after="24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Рекомендованный объём добычи (вылова) водных биоресурсов в целях осуществления промышленного рыболовства (тонн)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595"/>
        </w:trPr>
        <w:tc>
          <w:tcPr>
            <w:gridSpan w:val="2"/>
            <w:tcW w:w="2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before="240" w:after="24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реки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before="240" w:after="24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озера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налим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440,0330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11,040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лещ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1 376,254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299,980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щука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2 707,528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528,342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5 451,187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910,241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2,838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1,000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плотва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5 949,451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976,030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окунь пресноводный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2 883,444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1 439,174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елец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730,677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63,000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карась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473,104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2 767,007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ерш пресноводный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204,464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326,797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240" w:after="240" w:line="283" w:lineRule="atLeas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20218,980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7 322,611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2023-11-09T07:04:32Z</dcterms:modified>
</cp:coreProperties>
</file>