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072" w:rsidRDefault="006C6072" w:rsidP="006C6072">
      <w:pPr>
        <w:autoSpaceDE w:val="0"/>
        <w:autoSpaceDN w:val="0"/>
        <w:adjustRightInd w:val="0"/>
        <w:spacing w:after="0" w:line="240" w:lineRule="auto"/>
        <w:jc w:val="right"/>
        <w:outlineLvl w:val="0"/>
        <w:rPr>
          <w:rFonts w:ascii="Arial" w:hAnsi="Arial" w:cs="Arial"/>
          <w:sz w:val="20"/>
          <w:szCs w:val="20"/>
        </w:rPr>
      </w:pPr>
      <w:bookmarkStart w:id="0" w:name="_GoBack"/>
      <w:bookmarkEnd w:id="0"/>
      <w:r>
        <w:rPr>
          <w:rFonts w:ascii="Arial" w:hAnsi="Arial" w:cs="Arial"/>
          <w:sz w:val="20"/>
          <w:szCs w:val="20"/>
        </w:rPr>
        <w:t>Приложение 20</w:t>
      </w:r>
    </w:p>
    <w:p w:rsidR="006C6072" w:rsidRDefault="006C6072" w:rsidP="006C60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w:t>
      </w:r>
    </w:p>
    <w:p w:rsidR="006C6072" w:rsidRDefault="006C6072" w:rsidP="006C60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Ханты-Мансийского</w:t>
      </w:r>
    </w:p>
    <w:p w:rsidR="006C6072" w:rsidRDefault="006C6072" w:rsidP="006C60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автономного округа - Югры</w:t>
      </w:r>
    </w:p>
    <w:p w:rsidR="006C6072" w:rsidRDefault="006C6072" w:rsidP="006C60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5 октября 2018 года N 344-п</w:t>
      </w:r>
    </w:p>
    <w:p w:rsidR="006C6072" w:rsidRDefault="006C6072" w:rsidP="006C6072">
      <w:pPr>
        <w:autoSpaceDE w:val="0"/>
        <w:autoSpaceDN w:val="0"/>
        <w:adjustRightInd w:val="0"/>
        <w:spacing w:after="0" w:line="240" w:lineRule="auto"/>
        <w:jc w:val="both"/>
        <w:rPr>
          <w:rFonts w:ascii="Arial" w:hAnsi="Arial" w:cs="Arial"/>
          <w:sz w:val="20"/>
          <w:szCs w:val="20"/>
        </w:rPr>
      </w:pPr>
    </w:p>
    <w:p w:rsidR="006C6072" w:rsidRDefault="006C6072" w:rsidP="006C607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ПОРЯДОК</w:t>
      </w:r>
    </w:p>
    <w:p w:rsidR="006C6072" w:rsidRDefault="006C6072" w:rsidP="006C607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РАСЧЕТА И ПРЕДОСТАВЛЕНИЯ СУБСИДИИ НА РАЗВИТИЕ СИСТЕМЫ</w:t>
      </w:r>
    </w:p>
    <w:p w:rsidR="006C6072" w:rsidRDefault="006C6072" w:rsidP="006C607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ЗАГОТОВКИ И ПЕРЕРАБОТКИ ДИКОРОСОВ (ДАЛЕЕ - ПОРЯДОК)</w:t>
      </w:r>
    </w:p>
    <w:p w:rsidR="006C6072" w:rsidRDefault="006C6072" w:rsidP="006C6072">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6C6072">
        <w:trPr>
          <w:jc w:val="center"/>
        </w:trPr>
        <w:tc>
          <w:tcPr>
            <w:tcW w:w="5000" w:type="pct"/>
            <w:tcBorders>
              <w:left w:val="single" w:sz="24" w:space="0" w:color="CED3F1"/>
              <w:right w:val="single" w:sz="24" w:space="0" w:color="F4F3F8"/>
            </w:tcBorders>
            <w:shd w:val="clear" w:color="auto" w:fill="F4F3F8"/>
          </w:tcPr>
          <w:p w:rsidR="006C6072" w:rsidRDefault="006C607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6C6072" w:rsidRDefault="006C607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ХМАО - Югры от 19.12.2019 N 509-п)</w:t>
            </w:r>
          </w:p>
        </w:tc>
      </w:tr>
    </w:tbl>
    <w:p w:rsidR="006C6072" w:rsidRDefault="006C6072" w:rsidP="006C6072">
      <w:pPr>
        <w:autoSpaceDE w:val="0"/>
        <w:autoSpaceDN w:val="0"/>
        <w:adjustRightInd w:val="0"/>
        <w:spacing w:after="0" w:line="240" w:lineRule="auto"/>
        <w:jc w:val="center"/>
        <w:rPr>
          <w:rFonts w:ascii="Arial" w:hAnsi="Arial" w:cs="Arial"/>
          <w:sz w:val="20"/>
          <w:szCs w:val="20"/>
        </w:rPr>
      </w:pPr>
    </w:p>
    <w:p w:rsidR="006C6072" w:rsidRDefault="006C6072" w:rsidP="006C6072">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I. Условия предоставления и размер субсидии</w:t>
      </w:r>
    </w:p>
    <w:p w:rsidR="006C6072" w:rsidRDefault="006C6072" w:rsidP="006C6072">
      <w:pPr>
        <w:autoSpaceDE w:val="0"/>
        <w:autoSpaceDN w:val="0"/>
        <w:adjustRightInd w:val="0"/>
        <w:spacing w:after="0" w:line="240" w:lineRule="auto"/>
        <w:jc w:val="both"/>
        <w:rPr>
          <w:rFonts w:ascii="Arial" w:hAnsi="Arial" w:cs="Arial"/>
          <w:sz w:val="20"/>
          <w:szCs w:val="20"/>
        </w:rPr>
      </w:pPr>
    </w:p>
    <w:p w:rsidR="006C6072" w:rsidRDefault="006C6072" w:rsidP="006C60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Порядок определяет правила расчета и предоставления субсидии для реализации мероприятия 4.1 "Государственная поддержка развития системы заготовки и переработки дикоросов" </w:t>
      </w:r>
      <w:hyperlink r:id="rId5" w:history="1">
        <w:r>
          <w:rPr>
            <w:rFonts w:ascii="Arial" w:hAnsi="Arial" w:cs="Arial"/>
            <w:color w:val="0000FF"/>
            <w:sz w:val="20"/>
            <w:szCs w:val="20"/>
          </w:rPr>
          <w:t>подпрограммы 4</w:t>
        </w:r>
      </w:hyperlink>
      <w:r>
        <w:rPr>
          <w:rFonts w:ascii="Arial" w:hAnsi="Arial" w:cs="Arial"/>
          <w:sz w:val="20"/>
          <w:szCs w:val="20"/>
        </w:rPr>
        <w:t xml:space="preserve"> "Поддержка развития системы заготовки и переработки дикоросов, стимулирование развития агропромышленного комплекса" с целью возмещения затрат товаропроизводителям, осуществляющим производство (сбор) и реализацию продукции дикоросов (далее - субсидии), из бюджетов муниципальных образований за счет субвенций из бюджета Ханты-Мансийского автономного округа - Югры (далее - автономный округ).</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Субсидию предоставляют органы местного самоуправления муниципальных образований автономного округа (далее - Уполномоченный орган) с целью возмещения затрат при осуществлении следующих видов деятельности:</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заготовка продукции дикоросов;</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производство продукции глубокой переработки дикоросов, заготовленной на территории автономного округа;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 (далее - Департамент);</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презентаций продукции из дикоросов, участие в выставках, ярмарках, форумах.</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bookmarkStart w:id="1" w:name="Par20"/>
      <w:bookmarkEnd w:id="1"/>
      <w:r>
        <w:rPr>
          <w:rFonts w:ascii="Arial" w:hAnsi="Arial" w:cs="Arial"/>
          <w:sz w:val="20"/>
          <w:szCs w:val="20"/>
        </w:rPr>
        <w:t>1.3. Субсидия предоставляется:</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на реализацию продукции дикоросов собственной заготовки; на реализацию продукции глубокой переработки дикоросов собственного производства из сырья, заготовленного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Получателям, имеющим статус фактории на возведение (строительство), оснащение, страхование пунктов по приемке дикоросов;</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общинам коренных малочисленных народов Севера, зарегистрированным и осуществляющим деятельность в автономном округе, на организацию презентаций продукции из дикоросов, участие в выставках, ярмарках, форумах.</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Субсидию предоставляет Уполномоченный орган с целью возмещения части затрат за объемы реализованной продукции в текущем финансовом году и в декабре отчетного финансового года. Субсидия предоставляется за объемы реализованной продукции в отчетном месяце и 2 месяцах текущего финансового года, предшествующих отчетному. Субсидия за объем реализованной продукции в декабре отчетного финансового года выплачивается в период январь - февраль текущего финансового года.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bookmarkStart w:id="2" w:name="Par25"/>
      <w:bookmarkEnd w:id="2"/>
      <w:r>
        <w:rPr>
          <w:rFonts w:ascii="Arial" w:hAnsi="Arial" w:cs="Arial"/>
          <w:sz w:val="20"/>
          <w:szCs w:val="20"/>
        </w:rPr>
        <w:lastRenderedPageBreak/>
        <w:t>1.4. Предоставление субсидии осуществляется:</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дикоросов только по 1 виду деятельности - 1 раз в течение одного финансового года;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приобретение специализированной техники для транспортировки дикоросов - 1 раз в 10 лет;</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реализацию продукции дикоросов собственной заготовки, на реализацию продукции глубокой переработки дикоросов собственного производства, из сырья, заготовленного на территории автономного округа, по </w:t>
      </w:r>
      <w:hyperlink r:id="rId6" w:history="1">
        <w:r>
          <w:rPr>
            <w:rFonts w:ascii="Arial" w:hAnsi="Arial" w:cs="Arial"/>
            <w:color w:val="0000FF"/>
            <w:sz w:val="20"/>
            <w:szCs w:val="20"/>
          </w:rPr>
          <w:t>ставкам</w:t>
        </w:r>
      </w:hyperlink>
      <w:r>
        <w:rPr>
          <w:rFonts w:ascii="Arial" w:hAnsi="Arial" w:cs="Arial"/>
          <w:sz w:val="20"/>
          <w:szCs w:val="20"/>
        </w:rPr>
        <w:t xml:space="preserve"> согласно приложению 3 к постановлению Правительства автономного округа от 5 октября 2018 года N 344-п "О государственной программе Ханты-Мансийского автономного округа - Югры "Развитие агропромышленного комплекса";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возведение (строительство), оснащение, страхование пунктов по приемке дикоросов в размере 50 процентов от произведенных фактических затрат, но не более 3000 тыс. рублей за каждый построенный пункт по приемке дикоросов;</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приобретение специализированной техники и оборудования для хранения, переработки и транспортировки дикоросов в размере 50 процентов от произведенных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за 1 участие в выставках, ярмарках, форумах в течение 1 календарного года по следующим статьям затрат:</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регистрационные сборы;</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аренда выставочных площадей;</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аренда выставочного оборудования;</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сертификация продукции, лабораторные исследования продукции;</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проживание;</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транспортные.</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субсидии, предоставляемой Уполномоченным органом в текущем финансовом году каждому Получателю по видам деятельности: заготовка продукции дикоросов, производство продукции глубокой переработки дикоросов, заготовленной на территории автономного округа, рассчитывается по формуле:</w:t>
      </w:r>
    </w:p>
    <w:p w:rsidR="006C6072" w:rsidRDefault="006C6072" w:rsidP="006C6072">
      <w:pPr>
        <w:autoSpaceDE w:val="0"/>
        <w:autoSpaceDN w:val="0"/>
        <w:adjustRightInd w:val="0"/>
        <w:spacing w:after="0" w:line="240" w:lineRule="auto"/>
        <w:jc w:val="both"/>
        <w:rPr>
          <w:rFonts w:ascii="Arial" w:hAnsi="Arial" w:cs="Arial"/>
          <w:sz w:val="20"/>
          <w:szCs w:val="20"/>
        </w:rPr>
      </w:pPr>
    </w:p>
    <w:p w:rsidR="006C6072" w:rsidRDefault="006C6072" w:rsidP="006C6072">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0"/>
          <w:sz w:val="20"/>
          <w:szCs w:val="20"/>
          <w:lang w:eastAsia="ru-RU"/>
        </w:rPr>
        <w:drawing>
          <wp:inline distT="0" distB="0" distL="0" distR="0">
            <wp:extent cx="1003300" cy="38925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3300" cy="389255"/>
                    </a:xfrm>
                    <a:prstGeom prst="rect">
                      <a:avLst/>
                    </a:prstGeom>
                    <a:noFill/>
                    <a:ln>
                      <a:noFill/>
                    </a:ln>
                  </pic:spPr>
                </pic:pic>
              </a:graphicData>
            </a:graphic>
          </wp:inline>
        </w:drawing>
      </w:r>
      <w:r>
        <w:rPr>
          <w:rFonts w:ascii="Arial" w:hAnsi="Arial" w:cs="Arial"/>
          <w:sz w:val="20"/>
          <w:szCs w:val="20"/>
        </w:rPr>
        <w:t>, где</w:t>
      </w:r>
    </w:p>
    <w:p w:rsidR="006C6072" w:rsidRDefault="006C6072" w:rsidP="006C6072">
      <w:pPr>
        <w:autoSpaceDE w:val="0"/>
        <w:autoSpaceDN w:val="0"/>
        <w:adjustRightInd w:val="0"/>
        <w:spacing w:after="0" w:line="240" w:lineRule="auto"/>
        <w:jc w:val="both"/>
        <w:rPr>
          <w:rFonts w:ascii="Arial" w:hAnsi="Arial" w:cs="Arial"/>
          <w:sz w:val="20"/>
          <w:szCs w:val="20"/>
        </w:rPr>
      </w:pPr>
    </w:p>
    <w:p w:rsidR="006C6072" w:rsidRDefault="006C6072" w:rsidP="006C6072">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Vi</w:t>
      </w:r>
      <w:proofErr w:type="spellEnd"/>
      <w:r>
        <w:rPr>
          <w:rFonts w:ascii="Arial" w:hAnsi="Arial" w:cs="Arial"/>
          <w:sz w:val="20"/>
          <w:szCs w:val="20"/>
        </w:rPr>
        <w:t xml:space="preserve"> - размер субсидии в текущем финансовом году для отдельного Получателя по отдельному виду деятельности;</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Ki</w:t>
      </w:r>
      <w:proofErr w:type="spellEnd"/>
      <w:r>
        <w:rPr>
          <w:rFonts w:ascii="Arial" w:hAnsi="Arial" w:cs="Arial"/>
          <w:sz w:val="20"/>
          <w:szCs w:val="20"/>
        </w:rPr>
        <w:t xml:space="preserve"> - валовой объем производства (реализации) продукции отдельным Получателем по отдельному виду деятельности в текущем финансовом году;</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Kмо</w:t>
      </w:r>
      <w:proofErr w:type="spellEnd"/>
      <w:r>
        <w:rPr>
          <w:rFonts w:ascii="Arial" w:hAnsi="Arial" w:cs="Arial"/>
          <w:sz w:val="20"/>
          <w:szCs w:val="20"/>
        </w:rPr>
        <w:t xml:space="preserve">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Vмо</w:t>
      </w:r>
      <w:proofErr w:type="spellEnd"/>
      <w:r>
        <w:rPr>
          <w:rFonts w:ascii="Arial" w:hAnsi="Arial" w:cs="Arial"/>
          <w:sz w:val="20"/>
          <w:szCs w:val="20"/>
        </w:rPr>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собственного производства </w:t>
      </w:r>
      <w:r>
        <w:rPr>
          <w:rFonts w:ascii="Arial" w:hAnsi="Arial" w:cs="Arial"/>
          <w:sz w:val="20"/>
          <w:szCs w:val="20"/>
        </w:rPr>
        <w:lastRenderedPageBreak/>
        <w:t>(сбора, переработки) продукции дикоросов,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субсидии, предоставляемой Уполномоченным органом в текущем финансовом году каждому Получателю по видам деятельности: возведение (строительство), оснащение, страхование пунктов по приемке дикоросов, приобретение специализированной техники и оборудования для хранения, транспортировки и переработки дикоросов, специализированного вездеходного транспорта; организация презентаций продукции из дикоросов, участие в выставках, ярмарках, форумах, рассчитывается по формуле:</w:t>
      </w:r>
    </w:p>
    <w:p w:rsidR="006C6072" w:rsidRDefault="006C6072" w:rsidP="006C6072">
      <w:pPr>
        <w:autoSpaceDE w:val="0"/>
        <w:autoSpaceDN w:val="0"/>
        <w:adjustRightInd w:val="0"/>
        <w:spacing w:after="0" w:line="240" w:lineRule="auto"/>
        <w:jc w:val="both"/>
        <w:rPr>
          <w:rFonts w:ascii="Arial" w:hAnsi="Arial" w:cs="Arial"/>
          <w:sz w:val="20"/>
          <w:szCs w:val="20"/>
        </w:rPr>
      </w:pPr>
    </w:p>
    <w:p w:rsidR="006C6072" w:rsidRDefault="006C6072" w:rsidP="006C6072">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0"/>
          <w:sz w:val="20"/>
          <w:szCs w:val="20"/>
          <w:lang w:eastAsia="ru-RU"/>
        </w:rPr>
        <w:drawing>
          <wp:inline distT="0" distB="0" distL="0" distR="0">
            <wp:extent cx="1036955" cy="389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955" cy="389255"/>
                    </a:xfrm>
                    <a:prstGeom prst="rect">
                      <a:avLst/>
                    </a:prstGeom>
                    <a:noFill/>
                    <a:ln>
                      <a:noFill/>
                    </a:ln>
                  </pic:spPr>
                </pic:pic>
              </a:graphicData>
            </a:graphic>
          </wp:inline>
        </w:drawing>
      </w:r>
      <w:r>
        <w:rPr>
          <w:rFonts w:ascii="Arial" w:hAnsi="Arial" w:cs="Arial"/>
          <w:sz w:val="20"/>
          <w:szCs w:val="20"/>
        </w:rPr>
        <w:t>, где:</w:t>
      </w:r>
    </w:p>
    <w:p w:rsidR="006C6072" w:rsidRDefault="006C6072" w:rsidP="006C6072">
      <w:pPr>
        <w:autoSpaceDE w:val="0"/>
        <w:autoSpaceDN w:val="0"/>
        <w:adjustRightInd w:val="0"/>
        <w:spacing w:after="0" w:line="240" w:lineRule="auto"/>
        <w:jc w:val="both"/>
        <w:rPr>
          <w:rFonts w:ascii="Arial" w:hAnsi="Arial" w:cs="Arial"/>
          <w:sz w:val="20"/>
          <w:szCs w:val="20"/>
        </w:rPr>
      </w:pPr>
    </w:p>
    <w:p w:rsidR="006C6072" w:rsidRDefault="006C6072" w:rsidP="006C6072">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Vi</w:t>
      </w:r>
      <w:proofErr w:type="spellEnd"/>
      <w:r>
        <w:rPr>
          <w:rFonts w:ascii="Arial" w:hAnsi="Arial" w:cs="Arial"/>
          <w:sz w:val="20"/>
          <w:szCs w:val="20"/>
        </w:rPr>
        <w:t xml:space="preserve"> - размер субсидии на поддержку отдельного вида деятельности в текущем финансовом году, предоставляемых Уполномоченным органом для отдельного Получателя;</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Vis</w:t>
      </w:r>
      <w:proofErr w:type="spellEnd"/>
      <w:r>
        <w:rPr>
          <w:rFonts w:ascii="Arial" w:hAnsi="Arial" w:cs="Arial"/>
          <w:sz w:val="20"/>
          <w:szCs w:val="20"/>
        </w:rPr>
        <w:t xml:space="preserve"> - размер субсидии на поддержку отдельного вида деятельности в текущем финансовом году на основании заявления отдельного Получателя;</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Vмоs</w:t>
      </w:r>
      <w:proofErr w:type="spellEnd"/>
      <w:r>
        <w:rPr>
          <w:rFonts w:ascii="Arial" w:hAnsi="Arial" w:cs="Arial"/>
          <w:sz w:val="20"/>
          <w:szCs w:val="20"/>
        </w:rPr>
        <w:t xml:space="preserve"> - общий размер субсидии на поддержку отдельного вида деятельности в текущем финансовом году на основании заявлений всех Получателей отдельного муниципального образования;</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Vмо</w:t>
      </w:r>
      <w:proofErr w:type="spellEnd"/>
      <w:r>
        <w:rPr>
          <w:rFonts w:ascii="Arial" w:hAnsi="Arial" w:cs="Arial"/>
          <w:sz w:val="20"/>
          <w:szCs w:val="20"/>
        </w:rPr>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w:t>
      </w:r>
    </w:p>
    <w:p w:rsidR="006C6072" w:rsidRDefault="006C6072" w:rsidP="006C6072">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6C6072">
        <w:trPr>
          <w:jc w:val="center"/>
        </w:trPr>
        <w:tc>
          <w:tcPr>
            <w:tcW w:w="5000" w:type="pct"/>
            <w:tcBorders>
              <w:left w:val="single" w:sz="24" w:space="0" w:color="CED3F1"/>
              <w:right w:val="single" w:sz="24" w:space="0" w:color="F4F3F8"/>
            </w:tcBorders>
            <w:shd w:val="clear" w:color="auto" w:fill="F4F3F8"/>
          </w:tcPr>
          <w:p w:rsidR="006C6072" w:rsidRDefault="006C6072">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6C6072" w:rsidRDefault="006C607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r>
    </w:tbl>
    <w:p w:rsidR="006C6072" w:rsidRDefault="006C6072" w:rsidP="006C6072">
      <w:pPr>
        <w:autoSpaceDE w:val="0"/>
        <w:autoSpaceDN w:val="0"/>
        <w:adjustRightInd w:val="0"/>
        <w:spacing w:before="260" w:after="0" w:line="240" w:lineRule="auto"/>
        <w:ind w:firstLine="540"/>
        <w:jc w:val="both"/>
        <w:rPr>
          <w:rFonts w:ascii="Arial" w:hAnsi="Arial" w:cs="Arial"/>
          <w:sz w:val="20"/>
          <w:szCs w:val="20"/>
        </w:rPr>
      </w:pPr>
      <w:bookmarkStart w:id="3" w:name="Par57"/>
      <w:bookmarkEnd w:id="3"/>
      <w:r>
        <w:rPr>
          <w:rFonts w:ascii="Arial" w:hAnsi="Arial" w:cs="Arial"/>
          <w:sz w:val="20"/>
          <w:szCs w:val="20"/>
        </w:rPr>
        <w:t>1.7. Субсидии не предоставляются:</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реализованную продукцию дикоросов, заготовленную за пределами автономного округа;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продукцию дикоросов, реализованную организациями и индивидуальными предпринимателями, не входящими в перечень переработчиков продукции дикоросов, утвержденный Департаментом, или не являющимися государственными, муниципальными предприятиями, бюджетными, муниципальными учреждениями социальной сферы автономного округа;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реализованную продукцию глубокой переработки дикоросов, заготовленную за пределами автономного округа;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реализованную продукцию глубокой переработки дикоросов, произведенную организациями или индивидуальными предпринимателями, не входящими в перечень переработчиков продукции дикоросов, утвержденный Департаментом;</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холодильную технику и оборудование с мощностью хранения менее 5 тонн продукции;</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возведение (строительство), оснащение, страхование пунктов по приемке дикоросов при наличии в данном населенном пункте автономного округа пунктов по приемке дикоросов, построенных, оснащенных, застрахованных с участием средств государственной поддержки.</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Для включения организаций и индивидуальных предпринимателей в перечень переработчиков продукции дикоросов (далее - переработчики, перечень) сельскохозяйственные товаропроизводители представляют в Департамент следующие документы:</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включении в перечень по форме, установленной Департаментом;</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сертификатов или деклараций соответствия на продукцию переработки дикоросов.</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Департамент в течение 1 рабочего с даты регистрации заявления о включении в перечень запрашивает в порядке межведомственного информационного взаимодействия, установленного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 копию заключения о проведении санитарно-эпидемиологической экспертизы объекта по производству продукции глубокой переработки дикоросов о соответствии требованиям санитарных норм и правил (в территориальное подразделение Федерального бюджетного учреждения здравоохранения "Центр гигиены и эпидемиологии в Ханты-Мансийском автономном округе - Югре").</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Правила включения переработчиков в перечень утверждает приказом Департамент.</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bookmarkStart w:id="4" w:name="Par69"/>
      <w:bookmarkEnd w:id="4"/>
      <w:r>
        <w:rPr>
          <w:rFonts w:ascii="Arial" w:hAnsi="Arial" w:cs="Arial"/>
          <w:sz w:val="20"/>
          <w:szCs w:val="20"/>
        </w:rPr>
        <w:t>1.9.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просроченной задолженности по возврату в бюджет муниципального образования субсидии,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ar20" w:history="1">
        <w:r>
          <w:rPr>
            <w:rFonts w:ascii="Arial" w:hAnsi="Arial" w:cs="Arial"/>
            <w:color w:val="0000FF"/>
            <w:sz w:val="20"/>
            <w:szCs w:val="20"/>
          </w:rPr>
          <w:t>пунктах 1.3</w:t>
        </w:r>
      </w:hyperlink>
      <w:r>
        <w:rPr>
          <w:rFonts w:ascii="Arial" w:hAnsi="Arial" w:cs="Arial"/>
          <w:sz w:val="20"/>
          <w:szCs w:val="20"/>
        </w:rPr>
        <w:t xml:space="preserve">, </w:t>
      </w:r>
      <w:hyperlink w:anchor="Par25" w:history="1">
        <w:r>
          <w:rPr>
            <w:rFonts w:ascii="Arial" w:hAnsi="Arial" w:cs="Arial"/>
            <w:color w:val="0000FF"/>
            <w:sz w:val="20"/>
            <w:szCs w:val="20"/>
          </w:rPr>
          <w:t>1.4</w:t>
        </w:r>
      </w:hyperlink>
      <w:r>
        <w:rPr>
          <w:rFonts w:ascii="Arial" w:hAnsi="Arial" w:cs="Arial"/>
          <w:sz w:val="20"/>
          <w:szCs w:val="20"/>
        </w:rPr>
        <w:t xml:space="preserve"> Порядка.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Критерии отбора Получателей:</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деятельность в автономном округе;</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у Получателей, занимающихся производством продукции глубокой переработки дикоросов, осуществивших возведение (строительство), оснащение, страхование пунктов по приемке дикоросов, права собственности или аренды на объект по глубокой переработке продукции дикоросов (за исключением Получателей, занимающихся производством сухого гриба);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у Получателей, занимающихся сбором, заготовкой (сбором) дикоросов и (или) производством продукции глубокой переработки дикоросов, договоров аренды лесных участков, заключенных в целях заготовки пищевых лесных ресурсов и сбора лекарственных растений.</w:t>
      </w:r>
    </w:p>
    <w:p w:rsidR="006C6072" w:rsidRDefault="006C6072" w:rsidP="006C6072">
      <w:pPr>
        <w:autoSpaceDE w:val="0"/>
        <w:autoSpaceDN w:val="0"/>
        <w:adjustRightInd w:val="0"/>
        <w:spacing w:after="0" w:line="240" w:lineRule="auto"/>
        <w:jc w:val="both"/>
        <w:rPr>
          <w:rFonts w:ascii="Arial" w:hAnsi="Arial" w:cs="Arial"/>
          <w:sz w:val="20"/>
          <w:szCs w:val="20"/>
        </w:rPr>
      </w:pPr>
    </w:p>
    <w:p w:rsidR="006C6072" w:rsidRDefault="006C6072" w:rsidP="006C6072">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II. Правила предоставления субсидии</w:t>
      </w:r>
    </w:p>
    <w:p w:rsidR="006C6072" w:rsidRDefault="006C6072" w:rsidP="006C6072">
      <w:pPr>
        <w:autoSpaceDE w:val="0"/>
        <w:autoSpaceDN w:val="0"/>
        <w:adjustRightInd w:val="0"/>
        <w:spacing w:after="0" w:line="240" w:lineRule="auto"/>
        <w:jc w:val="both"/>
        <w:rPr>
          <w:rFonts w:ascii="Arial" w:hAnsi="Arial" w:cs="Arial"/>
          <w:sz w:val="20"/>
          <w:szCs w:val="20"/>
        </w:rPr>
      </w:pPr>
    </w:p>
    <w:p w:rsidR="006C6072" w:rsidRDefault="006C6072" w:rsidP="006C6072">
      <w:pPr>
        <w:autoSpaceDE w:val="0"/>
        <w:autoSpaceDN w:val="0"/>
        <w:adjustRightInd w:val="0"/>
        <w:spacing w:after="0" w:line="240" w:lineRule="auto"/>
        <w:ind w:firstLine="540"/>
        <w:jc w:val="both"/>
        <w:rPr>
          <w:rFonts w:ascii="Arial" w:hAnsi="Arial" w:cs="Arial"/>
          <w:sz w:val="20"/>
          <w:szCs w:val="20"/>
        </w:rPr>
      </w:pPr>
      <w:bookmarkStart w:id="5" w:name="Par82"/>
      <w:bookmarkEnd w:id="5"/>
      <w:r>
        <w:rPr>
          <w:rFonts w:ascii="Arial" w:hAnsi="Arial" w:cs="Arial"/>
          <w:sz w:val="20"/>
          <w:szCs w:val="20"/>
        </w:rPr>
        <w:t>2.1. Уполномоченный орган размещает информацию о порядке, сроках предоставления, наличии лимитов субсидии на своем официальном сайте (далее - Сайт) не позднее 31 января текущего финансового года.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также размещает информацию о размерах субсидии, формах и перечне документов, необходимых для представления в Уполномоченный орган, форму соглашения.</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Получатели представляют до 5 рабочего дня соответствующего месяца в Уполномоченный орган:</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2.1.1. На реализацию продукции дикоросов собственной заготовки:</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bookmarkStart w:id="6" w:name="Par86"/>
      <w:bookmarkEnd w:id="6"/>
      <w:r>
        <w:rPr>
          <w:rFonts w:ascii="Arial" w:hAnsi="Arial" w:cs="Arial"/>
          <w:sz w:val="20"/>
          <w:szCs w:val="20"/>
        </w:rPr>
        <w:t>заявление о предоставлении субсидии по форме, установленной Уполномоченным органом;</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bookmarkStart w:id="7" w:name="Par87"/>
      <w:bookmarkEnd w:id="7"/>
      <w:r>
        <w:rPr>
          <w:rFonts w:ascii="Arial" w:hAnsi="Arial" w:cs="Arial"/>
          <w:sz w:val="20"/>
          <w:szCs w:val="20"/>
        </w:rPr>
        <w:t>справку-расчет субсидии на заготовку и (или) переработку дикоросов по форме, установленной Департаментом;</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договоров купли-продажи, договоров поставки продукции дикоросов;</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товарных накладных унифицированной формы ТОРГ-12;</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платежных документов, предусмотренных действующим законодательством;</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bookmarkStart w:id="8" w:name="Par92"/>
      <w:bookmarkEnd w:id="8"/>
      <w:r>
        <w:rPr>
          <w:rFonts w:ascii="Arial" w:hAnsi="Arial" w:cs="Arial"/>
          <w:sz w:val="20"/>
          <w:szCs w:val="20"/>
        </w:rP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bookmarkStart w:id="9" w:name="Par93"/>
      <w:bookmarkEnd w:id="9"/>
      <w:r>
        <w:rPr>
          <w:rFonts w:ascii="Arial" w:hAnsi="Arial" w:cs="Arial"/>
          <w:sz w:val="20"/>
          <w:szCs w:val="20"/>
        </w:rP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bookmarkStart w:id="10" w:name="Par94"/>
      <w:bookmarkEnd w:id="10"/>
      <w:r>
        <w:rPr>
          <w:rFonts w:ascii="Arial" w:hAnsi="Arial" w:cs="Arial"/>
          <w:sz w:val="20"/>
          <w:szCs w:val="20"/>
        </w:rPr>
        <w:t>2.1.2. На реализацию продукции глубокой переработки дикоросов собственного производства из сырья, заготовленного на территории автономного округа: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предоставлении субсидии по форме, установленной Уполномоченным органом;</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справку-расчет субсидии на заготовку и (или) переработку дикоросов по форме, установленной Департаментом;</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декларации о соответствии (сертификата соответствия) на продукцию по глубокой переработке дикоросов;</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ТОРГ-12,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подтверждающих оплату поставщикам продукции дикоросов, предусмотренных действующим законодательством:</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подтверждающих реализацию продукции по глубокой переработке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 (документов).</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На возведение (строительство), оснащение, страхование пунктов по приемке дикоросов:</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при выполнении работ подрядным способом:</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bookmarkStart w:id="11" w:name="Par105"/>
      <w:bookmarkEnd w:id="11"/>
      <w:r>
        <w:rPr>
          <w:rFonts w:ascii="Arial" w:hAnsi="Arial" w:cs="Arial"/>
          <w:sz w:val="20"/>
          <w:szCs w:val="20"/>
        </w:rPr>
        <w:t>заявление о предоставлении субсидии по форме, установленной Уполномоченным органом;</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bookmarkStart w:id="12" w:name="Par106"/>
      <w:bookmarkEnd w:id="12"/>
      <w:r>
        <w:rPr>
          <w:rFonts w:ascii="Arial" w:hAnsi="Arial" w:cs="Arial"/>
          <w:sz w:val="20"/>
          <w:szCs w:val="20"/>
        </w:rPr>
        <w:t>справку-расчет субсидии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утвержденной Департаментом;</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договоров на выполнение проектно-изыскательских работ, строительно-монтажных работ, поставку оборудования, страхования;</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проектно-сметной документации;</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актов о приемке выполненных работ (форма КС-2);</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справок о стоимости выполненных работ и затрат (форма КС-3);</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предусмотренных действующим законодательством, подтверждающих оплату выполненных работ, поставленного оборудования;</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bookmarkStart w:id="13" w:name="Par113"/>
      <w:bookmarkEnd w:id="13"/>
      <w:r>
        <w:rPr>
          <w:rFonts w:ascii="Arial" w:hAnsi="Arial" w:cs="Arial"/>
          <w:sz w:val="20"/>
          <w:szCs w:val="20"/>
        </w:rP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 (документов);</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выполнении работ собственными силами:</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bookmarkStart w:id="14" w:name="Par116"/>
      <w:bookmarkEnd w:id="14"/>
      <w:r>
        <w:rPr>
          <w:rFonts w:ascii="Arial" w:hAnsi="Arial" w:cs="Arial"/>
          <w:sz w:val="20"/>
          <w:szCs w:val="20"/>
        </w:rPr>
        <w:t>заявление о предоставлении субсидии по форме, установленной Уполномоченным органом;</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bookmarkStart w:id="15" w:name="Par117"/>
      <w:bookmarkEnd w:id="15"/>
      <w:r>
        <w:rPr>
          <w:rFonts w:ascii="Arial" w:hAnsi="Arial" w:cs="Arial"/>
          <w:sz w:val="20"/>
          <w:szCs w:val="20"/>
        </w:rPr>
        <w:t>справку-расчет субсидии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установленной Департаментом;</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подтверждающих фактические затраты (накладные расходы и плановые накопления в стоимость работ не включаются и не оплачиваются);</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bookmarkStart w:id="16" w:name="Par119"/>
      <w:bookmarkEnd w:id="16"/>
      <w:r>
        <w:rPr>
          <w:rFonts w:ascii="Arial" w:hAnsi="Arial" w:cs="Arial"/>
          <w:sz w:val="20"/>
          <w:szCs w:val="20"/>
        </w:rP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bookmarkStart w:id="17" w:name="Par120"/>
      <w:bookmarkEnd w:id="17"/>
      <w:r>
        <w:rPr>
          <w:rFonts w:ascii="Arial" w:hAnsi="Arial" w:cs="Arial"/>
          <w:sz w:val="20"/>
          <w:szCs w:val="20"/>
        </w:rP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На приобретение специализированной техники и оборудования для хранения, переработки и транспортировки дикоросов:</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bookmarkStart w:id="18" w:name="Par122"/>
      <w:bookmarkEnd w:id="18"/>
      <w:r>
        <w:rPr>
          <w:rFonts w:ascii="Arial" w:hAnsi="Arial" w:cs="Arial"/>
          <w:sz w:val="20"/>
          <w:szCs w:val="20"/>
        </w:rPr>
        <w:t>заявление о предоставлении субсидии по форме, установленной Уполномоченным органом;</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bookmarkStart w:id="19" w:name="Par123"/>
      <w:bookmarkEnd w:id="19"/>
      <w:r>
        <w:rPr>
          <w:rFonts w:ascii="Arial" w:hAnsi="Arial" w:cs="Arial"/>
          <w:sz w:val="20"/>
          <w:szCs w:val="20"/>
        </w:rPr>
        <w:lastRenderedPageBreak/>
        <w:t>справку-расчет субсидии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установленной Департаментом;</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bookmarkStart w:id="20" w:name="Par126"/>
      <w:bookmarkEnd w:id="20"/>
      <w:r>
        <w:rPr>
          <w:rFonts w:ascii="Arial" w:hAnsi="Arial" w:cs="Arial"/>
          <w:sz w:val="20"/>
          <w:szCs w:val="20"/>
        </w:rPr>
        <w:t>копию паспорта транспортного средства с отметкой о государственной регистрации (в случае приобретения);</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bookmarkStart w:id="21" w:name="Par127"/>
      <w:bookmarkEnd w:id="21"/>
      <w:r>
        <w:rPr>
          <w:rFonts w:ascii="Arial" w:hAnsi="Arial" w:cs="Arial"/>
          <w:sz w:val="20"/>
          <w:szCs w:val="20"/>
        </w:rP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 На организацию презентаций продукции из дикоросов, участие в выставках, ярмарках, форумах:</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bookmarkStart w:id="22" w:name="Par130"/>
      <w:bookmarkEnd w:id="22"/>
      <w:r>
        <w:rPr>
          <w:rFonts w:ascii="Arial" w:hAnsi="Arial" w:cs="Arial"/>
          <w:sz w:val="20"/>
          <w:szCs w:val="20"/>
        </w:rPr>
        <w:t>заявление о предоставлении субсидии по форме, установленной Уполномоченным органом;</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bookmarkStart w:id="23" w:name="Par132"/>
      <w:bookmarkEnd w:id="23"/>
      <w:r>
        <w:rPr>
          <w:rFonts w:ascii="Arial" w:hAnsi="Arial" w:cs="Arial"/>
          <w:sz w:val="20"/>
          <w:szCs w:val="20"/>
        </w:rP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bookmarkStart w:id="24" w:name="Par133"/>
      <w:bookmarkEnd w:id="24"/>
      <w:r>
        <w:rPr>
          <w:rFonts w:ascii="Arial" w:hAnsi="Arial" w:cs="Arial"/>
          <w:sz w:val="20"/>
          <w:szCs w:val="20"/>
        </w:rP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Уполномоченный орган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ar82" w:history="1">
        <w:r>
          <w:rPr>
            <w:rFonts w:ascii="Arial" w:hAnsi="Arial" w:cs="Arial"/>
            <w:color w:val="0000FF"/>
            <w:sz w:val="20"/>
            <w:szCs w:val="20"/>
          </w:rPr>
          <w:t>пункте 2.1</w:t>
        </w:r>
      </w:hyperlink>
      <w:r>
        <w:rPr>
          <w:rFonts w:ascii="Arial" w:hAnsi="Arial" w:cs="Arial"/>
          <w:sz w:val="20"/>
          <w:szCs w:val="20"/>
        </w:rPr>
        <w:t xml:space="preserve"> Порядка (далее - документы).</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Уполномоченного органа, ответственное за прием документов, в течение 1 рабочего дня с даты поступления документов (доставленных непосредственно, через многофункциональный центр предоставления государственных и муниципальных услуг, или почтовой связью) регистрирует их и передает должностному лицу Уполномоченного органа, ответственному за рассмотрение документов, в течение 1 рабочего дня с даты их регистрации.</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(далее - уведомление).</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Уведомление вручает Получателю лично или направляет посредством почтовой связи, подписанное руководителем Уполномоченного органа или лицом, его замещающим, в течение 2 рабочих дней с даты регистрации документов.</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Требовать от Получателя представления документов, не предусмотренных Порядком, не допускается.</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Документы, предусмотренные в </w:t>
      </w:r>
      <w:hyperlink w:anchor="Par82" w:history="1">
        <w:r>
          <w:rPr>
            <w:rFonts w:ascii="Arial" w:hAnsi="Arial" w:cs="Arial"/>
            <w:color w:val="0000FF"/>
            <w:sz w:val="20"/>
            <w:szCs w:val="20"/>
          </w:rPr>
          <w:t>пункте 2.1</w:t>
        </w:r>
      </w:hyperlink>
      <w:r>
        <w:rPr>
          <w:rFonts w:ascii="Arial" w:hAnsi="Arial" w:cs="Arial"/>
          <w:sz w:val="20"/>
          <w:szCs w:val="20"/>
        </w:rPr>
        <w:t xml:space="preserve"> Порядка, представляются в Уполномоченный орган одним из следующих способов:</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электронной форме - с использованием Портала.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0" w:history="1">
        <w:r>
          <w:rPr>
            <w:rFonts w:ascii="Arial" w:hAnsi="Arial" w:cs="Arial"/>
            <w:color w:val="0000FF"/>
            <w:sz w:val="20"/>
            <w:szCs w:val="20"/>
          </w:rPr>
          <w:t>законом</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 следующие документы (сведения):</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Федеральную налоговую службу Российской Федерации);</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(в орган местного самоуправления муниципального образования автономного округа);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выписки из реестра факторий (в Департамент недропользования и природных ресурсов автономного округа);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выписку из Единого государственного реестра недвижимости о правах отдельного лица на имевшиеся (имеющиеся) у него объекты недвижимости (в Федеральную службу государственной регистрации, кадастра и картографии) (при предоставлении государственной поддержки на возведение (строительство), оснащение, страхование пунктов по приемке дикоросов, на производство продукции глубокой переработки дикоросов);</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наличии договоров аренды лесных участков, заключенных в целях заготовки пищевых лесных ресурсов и сбора лекарственных растений (в Департамент недропользования и природных ресурсов автономного округа, органы местного самоуправления муниципальных образований автономного округа, имеющие на своей территории городские леса);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hyperlink w:anchor="Par20" w:history="1">
        <w:r>
          <w:rPr>
            <w:rFonts w:ascii="Arial" w:hAnsi="Arial" w:cs="Arial"/>
            <w:color w:val="0000FF"/>
            <w:sz w:val="20"/>
            <w:szCs w:val="20"/>
          </w:rPr>
          <w:t>пунктах 1.3</w:t>
        </w:r>
      </w:hyperlink>
      <w:r>
        <w:rPr>
          <w:rFonts w:ascii="Arial" w:hAnsi="Arial" w:cs="Arial"/>
          <w:sz w:val="20"/>
          <w:szCs w:val="20"/>
        </w:rPr>
        <w:t xml:space="preserve">, </w:t>
      </w:r>
      <w:hyperlink w:anchor="Par25" w:history="1">
        <w:r>
          <w:rPr>
            <w:rFonts w:ascii="Arial" w:hAnsi="Arial" w:cs="Arial"/>
            <w:color w:val="0000FF"/>
            <w:sz w:val="20"/>
            <w:szCs w:val="20"/>
          </w:rPr>
          <w:t>1.4</w:t>
        </w:r>
      </w:hyperlink>
      <w:r>
        <w:rPr>
          <w:rFonts w:ascii="Arial" w:hAnsi="Arial" w:cs="Arial"/>
          <w:sz w:val="20"/>
          <w:szCs w:val="20"/>
        </w:rPr>
        <w:t xml:space="preserve"> Порядка (в орган местного самоуправления муниципального образования автономного округа).</w:t>
      </w:r>
    </w:p>
    <w:p w:rsidR="006C6072" w:rsidRDefault="006C6072" w:rsidP="006C6072">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6C6072">
        <w:trPr>
          <w:jc w:val="center"/>
        </w:trPr>
        <w:tc>
          <w:tcPr>
            <w:tcW w:w="5000" w:type="pct"/>
            <w:tcBorders>
              <w:left w:val="single" w:sz="24" w:space="0" w:color="CED3F1"/>
              <w:right w:val="single" w:sz="24" w:space="0" w:color="F4F3F8"/>
            </w:tcBorders>
            <w:shd w:val="clear" w:color="auto" w:fill="F4F3F8"/>
          </w:tcPr>
          <w:p w:rsidR="006C6072" w:rsidRDefault="006C6072">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6C6072" w:rsidRDefault="006C607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официальном тексте документа, видимо, допущена опечатка: пункт 1.10 в данном Порядке отсутствует.</w:t>
            </w:r>
          </w:p>
        </w:tc>
      </w:tr>
    </w:tbl>
    <w:p w:rsidR="006C6072" w:rsidRDefault="006C6072" w:rsidP="006C6072">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2.6. Уполномоченный орган в течение 10 рабочих дней с даты регистрации документов, указанных в </w:t>
      </w:r>
      <w:hyperlink w:anchor="Par82" w:history="1">
        <w:r>
          <w:rPr>
            <w:rFonts w:ascii="Arial" w:hAnsi="Arial" w:cs="Arial"/>
            <w:color w:val="0000FF"/>
            <w:sz w:val="20"/>
            <w:szCs w:val="20"/>
          </w:rPr>
          <w:t>пункте 2.1</w:t>
        </w:r>
      </w:hyperlink>
      <w:r>
        <w:rPr>
          <w:rFonts w:ascii="Arial" w:hAnsi="Arial" w:cs="Arial"/>
          <w:sz w:val="20"/>
          <w:szCs w:val="20"/>
        </w:rPr>
        <w:t xml:space="preserve"> Порядка, осуществляет их проверку на предмет достоверности, а также проверку Получателя на соответствие требованиям, установленным </w:t>
      </w:r>
      <w:hyperlink w:anchor="Par69" w:history="1">
        <w:r>
          <w:rPr>
            <w:rFonts w:ascii="Arial" w:hAnsi="Arial" w:cs="Arial"/>
            <w:color w:val="0000FF"/>
            <w:sz w:val="20"/>
            <w:szCs w:val="20"/>
          </w:rPr>
          <w:t>пунктами 1.9</w:t>
        </w:r>
      </w:hyperlink>
      <w:r>
        <w:rPr>
          <w:rFonts w:ascii="Arial" w:hAnsi="Arial" w:cs="Arial"/>
          <w:sz w:val="20"/>
          <w:szCs w:val="20"/>
        </w:rPr>
        <w:t xml:space="preserve"> - 1.10 Порядка.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предоставлении субсидии или об отказе в ее предоставлении оформляет правовым актом Уполномоченный орган.</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bookmarkStart w:id="25" w:name="Par162"/>
      <w:bookmarkEnd w:id="25"/>
      <w:r>
        <w:rPr>
          <w:rFonts w:ascii="Arial" w:hAnsi="Arial" w:cs="Arial"/>
          <w:sz w:val="20"/>
          <w:szCs w:val="20"/>
        </w:rPr>
        <w:t>Получатель в течение 5 рабочих дней с даты получения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Соглашение заключается по форме, установленной финансовым органом муниципального образования автономного округа.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Соглашение должно содержать следующие положения:</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значения показателей результативности;</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направления затрат, на возмещение которых предоставляется субсидия;</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согласие Получателя на осуществление Уполномоченным органом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контроля соблюдения Получателем условий Соглашения;</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сроки и состав отчетности Получателя об использовании субсидии;</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 контрольных мероприятий;</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 размера штрафных санкций.</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 подписанное руководителем Уполномоченного органа или лицом, его замещающим, с указанием причин отказа почтовым отправлением, или вручает лично.</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bookmarkStart w:id="26" w:name="Par174"/>
      <w:bookmarkEnd w:id="26"/>
      <w:r>
        <w:rPr>
          <w:rFonts w:ascii="Arial" w:hAnsi="Arial" w:cs="Arial"/>
          <w:sz w:val="20"/>
          <w:szCs w:val="20"/>
        </w:rPr>
        <w:t>2.11. Основаниями для отказа в предоставлении субсидии являются:</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добровольный письменный отказ Получателя от субсидии;</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лимитов, предусмотренных для предоставления субсидии в бюджете муниципального образования;</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представление Соглашения с нарушением установленной формы;</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нарушение Получателем срока представления в Департамент подписанного Соглашения, установленного </w:t>
      </w:r>
      <w:hyperlink w:anchor="Par162" w:history="1">
        <w:r>
          <w:rPr>
            <w:rFonts w:ascii="Arial" w:hAnsi="Arial" w:cs="Arial"/>
            <w:color w:val="0000FF"/>
            <w:sz w:val="20"/>
            <w:szCs w:val="20"/>
          </w:rPr>
          <w:t>абзацем вторым пункта 2.7</w:t>
        </w:r>
      </w:hyperlink>
      <w:r>
        <w:rPr>
          <w:rFonts w:ascii="Arial" w:hAnsi="Arial" w:cs="Arial"/>
          <w:sz w:val="20"/>
          <w:szCs w:val="20"/>
        </w:rPr>
        <w:t xml:space="preserve"> Порядка;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нарушение срока предоставления документов, установленных </w:t>
      </w:r>
      <w:hyperlink w:anchor="Par82" w:history="1">
        <w:r>
          <w:rPr>
            <w:rFonts w:ascii="Arial" w:hAnsi="Arial" w:cs="Arial"/>
            <w:color w:val="0000FF"/>
            <w:sz w:val="20"/>
            <w:szCs w:val="20"/>
          </w:rPr>
          <w:t>пунктом 2.1</w:t>
        </w:r>
      </w:hyperlink>
      <w:r>
        <w:rPr>
          <w:rFonts w:ascii="Arial" w:hAnsi="Arial" w:cs="Arial"/>
          <w:sz w:val="20"/>
          <w:szCs w:val="20"/>
        </w:rPr>
        <w:t xml:space="preserve"> Порядка;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непредставление Получателем документов (представление не в полном объеме), установленных </w:t>
      </w:r>
      <w:hyperlink w:anchor="Par82" w:history="1">
        <w:r>
          <w:rPr>
            <w:rFonts w:ascii="Arial" w:hAnsi="Arial" w:cs="Arial"/>
            <w:color w:val="0000FF"/>
            <w:sz w:val="20"/>
            <w:szCs w:val="20"/>
          </w:rPr>
          <w:t>пунктом 2.1</w:t>
        </w:r>
      </w:hyperlink>
      <w:r>
        <w:rPr>
          <w:rFonts w:ascii="Arial" w:hAnsi="Arial" w:cs="Arial"/>
          <w:sz w:val="20"/>
          <w:szCs w:val="20"/>
        </w:rPr>
        <w:t xml:space="preserve"> Порядка, </w:t>
      </w:r>
      <w:hyperlink w:anchor="Par162" w:history="1">
        <w:r>
          <w:rPr>
            <w:rFonts w:ascii="Arial" w:hAnsi="Arial" w:cs="Arial"/>
            <w:color w:val="0000FF"/>
            <w:sz w:val="20"/>
            <w:szCs w:val="20"/>
          </w:rPr>
          <w:t>абзацем вторым пункта 2.7</w:t>
        </w:r>
      </w:hyperlink>
      <w:r>
        <w:rPr>
          <w:rFonts w:ascii="Arial" w:hAnsi="Arial" w:cs="Arial"/>
          <w:sz w:val="20"/>
          <w:szCs w:val="20"/>
        </w:rPr>
        <w:t xml:space="preserve"> Порядка;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представление документов с нарушением требований к их оформлению, установленных </w:t>
      </w:r>
      <w:hyperlink w:anchor="Par86" w:history="1">
        <w:r>
          <w:rPr>
            <w:rFonts w:ascii="Arial" w:hAnsi="Arial" w:cs="Arial"/>
            <w:color w:val="0000FF"/>
            <w:sz w:val="20"/>
            <w:szCs w:val="20"/>
          </w:rPr>
          <w:t>абзацами вторым</w:t>
        </w:r>
      </w:hyperlink>
      <w:r>
        <w:rPr>
          <w:rFonts w:ascii="Arial" w:hAnsi="Arial" w:cs="Arial"/>
          <w:sz w:val="20"/>
          <w:szCs w:val="20"/>
        </w:rPr>
        <w:t xml:space="preserve">, </w:t>
      </w:r>
      <w:hyperlink w:anchor="Par87" w:history="1">
        <w:r>
          <w:rPr>
            <w:rFonts w:ascii="Arial" w:hAnsi="Arial" w:cs="Arial"/>
            <w:color w:val="0000FF"/>
            <w:sz w:val="20"/>
            <w:szCs w:val="20"/>
          </w:rPr>
          <w:t>третьим</w:t>
        </w:r>
      </w:hyperlink>
      <w:r>
        <w:rPr>
          <w:rFonts w:ascii="Arial" w:hAnsi="Arial" w:cs="Arial"/>
          <w:sz w:val="20"/>
          <w:szCs w:val="20"/>
        </w:rPr>
        <w:t xml:space="preserve">, </w:t>
      </w:r>
      <w:hyperlink w:anchor="Par92" w:history="1">
        <w:r>
          <w:rPr>
            <w:rFonts w:ascii="Arial" w:hAnsi="Arial" w:cs="Arial"/>
            <w:color w:val="0000FF"/>
            <w:sz w:val="20"/>
            <w:szCs w:val="20"/>
          </w:rPr>
          <w:t>восьмым</w:t>
        </w:r>
      </w:hyperlink>
      <w:r>
        <w:rPr>
          <w:rFonts w:ascii="Arial" w:hAnsi="Arial" w:cs="Arial"/>
          <w:sz w:val="20"/>
          <w:szCs w:val="20"/>
        </w:rPr>
        <w:t xml:space="preserve">, </w:t>
      </w:r>
      <w:hyperlink w:anchor="Par93" w:history="1">
        <w:r>
          <w:rPr>
            <w:rFonts w:ascii="Arial" w:hAnsi="Arial" w:cs="Arial"/>
            <w:color w:val="0000FF"/>
            <w:sz w:val="20"/>
            <w:szCs w:val="20"/>
          </w:rPr>
          <w:t>девятым подпунктов 2.1.1</w:t>
        </w:r>
      </w:hyperlink>
      <w:r>
        <w:rPr>
          <w:rFonts w:ascii="Arial" w:hAnsi="Arial" w:cs="Arial"/>
          <w:sz w:val="20"/>
          <w:szCs w:val="20"/>
        </w:rPr>
        <w:t xml:space="preserve">, </w:t>
      </w:r>
      <w:hyperlink w:anchor="Par94" w:history="1">
        <w:r>
          <w:rPr>
            <w:rFonts w:ascii="Arial" w:hAnsi="Arial" w:cs="Arial"/>
            <w:color w:val="0000FF"/>
            <w:sz w:val="20"/>
            <w:szCs w:val="20"/>
          </w:rPr>
          <w:t>2.1.2 пункта 2.1</w:t>
        </w:r>
      </w:hyperlink>
      <w:r>
        <w:rPr>
          <w:rFonts w:ascii="Arial" w:hAnsi="Arial" w:cs="Arial"/>
          <w:sz w:val="20"/>
          <w:szCs w:val="20"/>
        </w:rPr>
        <w:t xml:space="preserve"> Порядка, </w:t>
      </w:r>
      <w:hyperlink w:anchor="Par105" w:history="1">
        <w:r>
          <w:rPr>
            <w:rFonts w:ascii="Arial" w:hAnsi="Arial" w:cs="Arial"/>
            <w:color w:val="0000FF"/>
            <w:sz w:val="20"/>
            <w:szCs w:val="20"/>
          </w:rPr>
          <w:t>абзацами третьим</w:t>
        </w:r>
      </w:hyperlink>
      <w:r>
        <w:rPr>
          <w:rFonts w:ascii="Arial" w:hAnsi="Arial" w:cs="Arial"/>
          <w:sz w:val="20"/>
          <w:szCs w:val="20"/>
        </w:rPr>
        <w:t xml:space="preserve">, </w:t>
      </w:r>
      <w:hyperlink w:anchor="Par106" w:history="1">
        <w:r>
          <w:rPr>
            <w:rFonts w:ascii="Arial" w:hAnsi="Arial" w:cs="Arial"/>
            <w:color w:val="0000FF"/>
            <w:sz w:val="20"/>
            <w:szCs w:val="20"/>
          </w:rPr>
          <w:t>четвертым</w:t>
        </w:r>
      </w:hyperlink>
      <w:r>
        <w:rPr>
          <w:rFonts w:ascii="Arial" w:hAnsi="Arial" w:cs="Arial"/>
          <w:sz w:val="20"/>
          <w:szCs w:val="20"/>
        </w:rPr>
        <w:t xml:space="preserve">, </w:t>
      </w:r>
      <w:hyperlink w:anchor="Par113" w:history="1">
        <w:r>
          <w:rPr>
            <w:rFonts w:ascii="Arial" w:hAnsi="Arial" w:cs="Arial"/>
            <w:color w:val="0000FF"/>
            <w:sz w:val="20"/>
            <w:szCs w:val="20"/>
          </w:rPr>
          <w:t>одиннадцатым</w:t>
        </w:r>
      </w:hyperlink>
      <w:r>
        <w:rPr>
          <w:rFonts w:ascii="Arial" w:hAnsi="Arial" w:cs="Arial"/>
          <w:sz w:val="20"/>
          <w:szCs w:val="20"/>
        </w:rPr>
        <w:t xml:space="preserve">, </w:t>
      </w:r>
      <w:hyperlink w:anchor="Par116" w:history="1">
        <w:r>
          <w:rPr>
            <w:rFonts w:ascii="Arial" w:hAnsi="Arial" w:cs="Arial"/>
            <w:color w:val="0000FF"/>
            <w:sz w:val="20"/>
            <w:szCs w:val="20"/>
          </w:rPr>
          <w:t>четырнадцатым</w:t>
        </w:r>
      </w:hyperlink>
      <w:r>
        <w:rPr>
          <w:rFonts w:ascii="Arial" w:hAnsi="Arial" w:cs="Arial"/>
          <w:sz w:val="20"/>
          <w:szCs w:val="20"/>
        </w:rPr>
        <w:t xml:space="preserve">, </w:t>
      </w:r>
      <w:hyperlink w:anchor="Par117" w:history="1">
        <w:r>
          <w:rPr>
            <w:rFonts w:ascii="Arial" w:hAnsi="Arial" w:cs="Arial"/>
            <w:color w:val="0000FF"/>
            <w:sz w:val="20"/>
            <w:szCs w:val="20"/>
          </w:rPr>
          <w:t>пятнадцатым</w:t>
        </w:r>
      </w:hyperlink>
      <w:r>
        <w:rPr>
          <w:rFonts w:ascii="Arial" w:hAnsi="Arial" w:cs="Arial"/>
          <w:sz w:val="20"/>
          <w:szCs w:val="20"/>
        </w:rPr>
        <w:t xml:space="preserve">, </w:t>
      </w:r>
      <w:hyperlink w:anchor="Par119" w:history="1">
        <w:r>
          <w:rPr>
            <w:rFonts w:ascii="Arial" w:hAnsi="Arial" w:cs="Arial"/>
            <w:color w:val="0000FF"/>
            <w:sz w:val="20"/>
            <w:szCs w:val="20"/>
          </w:rPr>
          <w:t>семнадцатым</w:t>
        </w:r>
      </w:hyperlink>
      <w:r>
        <w:rPr>
          <w:rFonts w:ascii="Arial" w:hAnsi="Arial" w:cs="Arial"/>
          <w:sz w:val="20"/>
          <w:szCs w:val="20"/>
        </w:rPr>
        <w:t xml:space="preserve">, </w:t>
      </w:r>
      <w:hyperlink w:anchor="Par120" w:history="1">
        <w:r>
          <w:rPr>
            <w:rFonts w:ascii="Arial" w:hAnsi="Arial" w:cs="Arial"/>
            <w:color w:val="0000FF"/>
            <w:sz w:val="20"/>
            <w:szCs w:val="20"/>
          </w:rPr>
          <w:t>восемнадцатым подпункта 2.1.3 пункта 2.1</w:t>
        </w:r>
      </w:hyperlink>
      <w:r>
        <w:rPr>
          <w:rFonts w:ascii="Arial" w:hAnsi="Arial" w:cs="Arial"/>
          <w:sz w:val="20"/>
          <w:szCs w:val="20"/>
        </w:rPr>
        <w:t xml:space="preserve"> Порядка, </w:t>
      </w:r>
      <w:hyperlink w:anchor="Par122" w:history="1">
        <w:r>
          <w:rPr>
            <w:rFonts w:ascii="Arial" w:hAnsi="Arial" w:cs="Arial"/>
            <w:color w:val="0000FF"/>
            <w:sz w:val="20"/>
            <w:szCs w:val="20"/>
          </w:rPr>
          <w:t>абзацами вторым</w:t>
        </w:r>
      </w:hyperlink>
      <w:r>
        <w:rPr>
          <w:rFonts w:ascii="Arial" w:hAnsi="Arial" w:cs="Arial"/>
          <w:sz w:val="20"/>
          <w:szCs w:val="20"/>
        </w:rPr>
        <w:t xml:space="preserve">, </w:t>
      </w:r>
      <w:hyperlink w:anchor="Par123" w:history="1">
        <w:r>
          <w:rPr>
            <w:rFonts w:ascii="Arial" w:hAnsi="Arial" w:cs="Arial"/>
            <w:color w:val="0000FF"/>
            <w:sz w:val="20"/>
            <w:szCs w:val="20"/>
          </w:rPr>
          <w:t>третьим</w:t>
        </w:r>
      </w:hyperlink>
      <w:r>
        <w:rPr>
          <w:rFonts w:ascii="Arial" w:hAnsi="Arial" w:cs="Arial"/>
          <w:sz w:val="20"/>
          <w:szCs w:val="20"/>
        </w:rPr>
        <w:t xml:space="preserve">, </w:t>
      </w:r>
      <w:hyperlink w:anchor="Par126" w:history="1">
        <w:r>
          <w:rPr>
            <w:rFonts w:ascii="Arial" w:hAnsi="Arial" w:cs="Arial"/>
            <w:color w:val="0000FF"/>
            <w:sz w:val="20"/>
            <w:szCs w:val="20"/>
          </w:rPr>
          <w:t>шестым</w:t>
        </w:r>
      </w:hyperlink>
      <w:r>
        <w:rPr>
          <w:rFonts w:ascii="Arial" w:hAnsi="Arial" w:cs="Arial"/>
          <w:sz w:val="20"/>
          <w:szCs w:val="20"/>
        </w:rPr>
        <w:t xml:space="preserve">, </w:t>
      </w:r>
      <w:hyperlink w:anchor="Par127" w:history="1">
        <w:r>
          <w:rPr>
            <w:rFonts w:ascii="Arial" w:hAnsi="Arial" w:cs="Arial"/>
            <w:color w:val="0000FF"/>
            <w:sz w:val="20"/>
            <w:szCs w:val="20"/>
          </w:rPr>
          <w:t>седьмым подпункта 2.1.4 пункта 2.1</w:t>
        </w:r>
      </w:hyperlink>
      <w:r>
        <w:rPr>
          <w:rFonts w:ascii="Arial" w:hAnsi="Arial" w:cs="Arial"/>
          <w:sz w:val="20"/>
          <w:szCs w:val="20"/>
        </w:rPr>
        <w:t xml:space="preserve"> Порядка, </w:t>
      </w:r>
      <w:hyperlink w:anchor="Par130" w:history="1">
        <w:r>
          <w:rPr>
            <w:rFonts w:ascii="Arial" w:hAnsi="Arial" w:cs="Arial"/>
            <w:color w:val="0000FF"/>
            <w:sz w:val="20"/>
            <w:szCs w:val="20"/>
          </w:rPr>
          <w:t>абзацами вторым</w:t>
        </w:r>
      </w:hyperlink>
      <w:r>
        <w:rPr>
          <w:rFonts w:ascii="Arial" w:hAnsi="Arial" w:cs="Arial"/>
          <w:sz w:val="20"/>
          <w:szCs w:val="20"/>
        </w:rPr>
        <w:t xml:space="preserve">, </w:t>
      </w:r>
      <w:hyperlink w:anchor="Par132" w:history="1">
        <w:r>
          <w:rPr>
            <w:rFonts w:ascii="Arial" w:hAnsi="Arial" w:cs="Arial"/>
            <w:color w:val="0000FF"/>
            <w:sz w:val="20"/>
            <w:szCs w:val="20"/>
          </w:rPr>
          <w:t>четвертым</w:t>
        </w:r>
      </w:hyperlink>
      <w:r>
        <w:rPr>
          <w:rFonts w:ascii="Arial" w:hAnsi="Arial" w:cs="Arial"/>
          <w:sz w:val="20"/>
          <w:szCs w:val="20"/>
        </w:rPr>
        <w:t xml:space="preserve">, </w:t>
      </w:r>
      <w:hyperlink w:anchor="Par133" w:history="1">
        <w:r>
          <w:rPr>
            <w:rFonts w:ascii="Arial" w:hAnsi="Arial" w:cs="Arial"/>
            <w:color w:val="0000FF"/>
            <w:sz w:val="20"/>
            <w:szCs w:val="20"/>
          </w:rPr>
          <w:t>пятым подпункта 2.1.5 пункта 2.1</w:t>
        </w:r>
      </w:hyperlink>
      <w:r>
        <w:rPr>
          <w:rFonts w:ascii="Arial" w:hAnsi="Arial" w:cs="Arial"/>
          <w:sz w:val="20"/>
          <w:szCs w:val="20"/>
        </w:rPr>
        <w:t xml:space="preserve"> Порядка;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недостоверность представленной Получателем информации;</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Получателя требованиям, установленным </w:t>
      </w:r>
      <w:hyperlink w:anchor="Par69" w:history="1">
        <w:r>
          <w:rPr>
            <w:rFonts w:ascii="Arial" w:hAnsi="Arial" w:cs="Arial"/>
            <w:color w:val="0000FF"/>
            <w:sz w:val="20"/>
            <w:szCs w:val="20"/>
          </w:rPr>
          <w:t>пунктами 1.9</w:t>
        </w:r>
      </w:hyperlink>
      <w:r>
        <w:rPr>
          <w:rFonts w:ascii="Arial" w:hAnsi="Arial" w:cs="Arial"/>
          <w:sz w:val="20"/>
          <w:szCs w:val="20"/>
        </w:rPr>
        <w:t>, 1.10 Порядка;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целей субсидирования требованиям, установленным </w:t>
      </w:r>
      <w:hyperlink w:anchor="Par20" w:history="1">
        <w:r>
          <w:rPr>
            <w:rFonts w:ascii="Arial" w:hAnsi="Arial" w:cs="Arial"/>
            <w:color w:val="0000FF"/>
            <w:sz w:val="20"/>
            <w:szCs w:val="20"/>
          </w:rPr>
          <w:t>пунктами 1.3</w:t>
        </w:r>
      </w:hyperlink>
      <w:r>
        <w:rPr>
          <w:rFonts w:ascii="Arial" w:hAnsi="Arial" w:cs="Arial"/>
          <w:sz w:val="20"/>
          <w:szCs w:val="20"/>
        </w:rPr>
        <w:t xml:space="preserve">, </w:t>
      </w:r>
      <w:hyperlink w:anchor="Par25" w:history="1">
        <w:r>
          <w:rPr>
            <w:rFonts w:ascii="Arial" w:hAnsi="Arial" w:cs="Arial"/>
            <w:color w:val="0000FF"/>
            <w:sz w:val="20"/>
            <w:szCs w:val="20"/>
          </w:rPr>
          <w:t>1.4</w:t>
        </w:r>
      </w:hyperlink>
      <w:r>
        <w:rPr>
          <w:rFonts w:ascii="Arial" w:hAnsi="Arial" w:cs="Arial"/>
          <w:sz w:val="20"/>
          <w:szCs w:val="20"/>
        </w:rPr>
        <w:t xml:space="preserve"> Порядка;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представление Получателем к субсидированию объемов и видов реализованной продукции, оборудования, холодильной техники, пунктов по приемке дикоросов, установленных </w:t>
      </w:r>
      <w:hyperlink w:anchor="Par57" w:history="1">
        <w:r>
          <w:rPr>
            <w:rFonts w:ascii="Arial" w:hAnsi="Arial" w:cs="Arial"/>
            <w:color w:val="0000FF"/>
            <w:sz w:val="20"/>
            <w:szCs w:val="20"/>
          </w:rPr>
          <w:t>пунктом 1.7</w:t>
        </w:r>
      </w:hyperlink>
      <w:r>
        <w:rPr>
          <w:rFonts w:ascii="Arial" w:hAnsi="Arial" w:cs="Arial"/>
          <w:sz w:val="20"/>
          <w:szCs w:val="20"/>
        </w:rPr>
        <w:t xml:space="preserve"> Порядка.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2.12. В случае отсутствия оснований, предусмотренных в </w:t>
      </w:r>
      <w:hyperlink w:anchor="Par174" w:history="1">
        <w:r>
          <w:rPr>
            <w:rFonts w:ascii="Arial" w:hAnsi="Arial" w:cs="Arial"/>
            <w:color w:val="0000FF"/>
            <w:sz w:val="20"/>
            <w:szCs w:val="20"/>
          </w:rPr>
          <w:t>пункте 2.11</w:t>
        </w:r>
      </w:hyperlink>
      <w:r>
        <w:rPr>
          <w:rFonts w:ascii="Arial" w:hAnsi="Arial" w:cs="Arial"/>
          <w:sz w:val="20"/>
          <w:szCs w:val="20"/>
        </w:rPr>
        <w:t xml:space="preserve"> Порядка, Уполномоченный орган перечисляет субсидию Получателю в пределах утвержденных бюджетных ассигнований в порядке и на счет, установленные Соглашением. Перечисление субсидии осуществляется в срок не более 10 рабочих дней с даты подписания сторонами Соглашения на расчетный счет Получателя, открытый в кредитной российской организации.</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Уполномоченный орган самостоятельно и (или)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вправе устанавливать сроки и формы предоставления Получателем отчетности о достижении показателей результативности субсидии, а также об исполнении Получателем взятых на себя обязательств, установленных Соглашением.</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Получатель ежемесячно не позднее 5 рабочего дня месяца, следующего за отчетным, представляет в Уполномоченный орган отчет об использовании субсидии по форме, установленной правовым актом Уполномоченного органа.</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2.14.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6C6072" w:rsidRDefault="006C6072" w:rsidP="006C6072">
      <w:pPr>
        <w:autoSpaceDE w:val="0"/>
        <w:autoSpaceDN w:val="0"/>
        <w:adjustRightInd w:val="0"/>
        <w:spacing w:after="0" w:line="240" w:lineRule="auto"/>
        <w:jc w:val="both"/>
        <w:rPr>
          <w:rFonts w:ascii="Arial" w:hAnsi="Arial" w:cs="Arial"/>
          <w:sz w:val="20"/>
          <w:szCs w:val="20"/>
        </w:rPr>
      </w:pPr>
    </w:p>
    <w:p w:rsidR="006C6072" w:rsidRDefault="006C6072" w:rsidP="006C6072">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III. Правила возврата субсидии в случае нарушения условий,</w:t>
      </w:r>
    </w:p>
    <w:p w:rsidR="006C6072" w:rsidRDefault="006C6072" w:rsidP="006C607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установленных при ее предоставлении</w:t>
      </w:r>
    </w:p>
    <w:p w:rsidR="006C6072" w:rsidRDefault="006C6072" w:rsidP="006C6072">
      <w:pPr>
        <w:autoSpaceDE w:val="0"/>
        <w:autoSpaceDN w:val="0"/>
        <w:adjustRightInd w:val="0"/>
        <w:spacing w:after="0" w:line="240" w:lineRule="auto"/>
        <w:jc w:val="both"/>
        <w:rPr>
          <w:rFonts w:ascii="Arial" w:hAnsi="Arial" w:cs="Arial"/>
          <w:sz w:val="20"/>
          <w:szCs w:val="20"/>
        </w:rPr>
      </w:pPr>
    </w:p>
    <w:p w:rsidR="006C6072" w:rsidRDefault="006C6072" w:rsidP="006C6072">
      <w:pPr>
        <w:autoSpaceDE w:val="0"/>
        <w:autoSpaceDN w:val="0"/>
        <w:adjustRightInd w:val="0"/>
        <w:spacing w:after="0" w:line="240" w:lineRule="auto"/>
        <w:ind w:firstLine="540"/>
        <w:jc w:val="both"/>
        <w:rPr>
          <w:rFonts w:ascii="Arial" w:hAnsi="Arial" w:cs="Arial"/>
          <w:sz w:val="20"/>
          <w:szCs w:val="20"/>
        </w:rPr>
      </w:pPr>
      <w:bookmarkStart w:id="27" w:name="Par196"/>
      <w:bookmarkEnd w:id="27"/>
      <w:r>
        <w:rPr>
          <w:rFonts w:ascii="Arial" w:hAnsi="Arial" w:cs="Arial"/>
          <w:sz w:val="20"/>
          <w:szCs w:val="20"/>
        </w:rPr>
        <w:t>3.1.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 Уполномоченный орган в течение 5 рабочих дней с даты выявления нарушения, указанного в </w:t>
      </w:r>
      <w:hyperlink w:anchor="Par196" w:history="1">
        <w:r>
          <w:rPr>
            <w:rFonts w:ascii="Arial" w:hAnsi="Arial" w:cs="Arial"/>
            <w:color w:val="0000FF"/>
            <w:sz w:val="20"/>
            <w:szCs w:val="20"/>
          </w:rPr>
          <w:t>пункте 3.1</w:t>
        </w:r>
      </w:hyperlink>
      <w:r>
        <w:rPr>
          <w:rFonts w:ascii="Arial" w:hAnsi="Arial" w:cs="Arial"/>
          <w:sz w:val="20"/>
          <w:szCs w:val="20"/>
        </w:rPr>
        <w:t xml:space="preserve"> Порядка, направляет Получателю письменное уведомление о необходимости возврата субсидии (далее - уведомление).</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Получатель в течение 30 рабочих дней со дня получения уведомления обязан выполнить требования, указанные в нем.</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В случае выявления факта </w:t>
      </w:r>
      <w:proofErr w:type="spellStart"/>
      <w:r>
        <w:rPr>
          <w:rFonts w:ascii="Arial" w:hAnsi="Arial" w:cs="Arial"/>
          <w:sz w:val="20"/>
          <w:szCs w:val="20"/>
        </w:rPr>
        <w:t>недостижения</w:t>
      </w:r>
      <w:proofErr w:type="spellEnd"/>
      <w:r>
        <w:rPr>
          <w:rFonts w:ascii="Arial" w:hAnsi="Arial" w:cs="Arial"/>
          <w:sz w:val="20"/>
          <w:szCs w:val="20"/>
        </w:rPr>
        <w:t xml:space="preserve"> показателей результативности использования субсидии, установленных Соглашением:</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 суммы штрафа осуществляется по форме, установленной Соглашением.</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6C6072" w:rsidRDefault="006C6072" w:rsidP="006C60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Ответственность за достоверность фактических показателей, сведений в представленных документах несет Получатель.</w:t>
      </w:r>
    </w:p>
    <w:p w:rsidR="006C6072" w:rsidRDefault="006C6072" w:rsidP="006C6072">
      <w:pPr>
        <w:autoSpaceDE w:val="0"/>
        <w:autoSpaceDN w:val="0"/>
        <w:adjustRightInd w:val="0"/>
        <w:spacing w:after="0" w:line="240" w:lineRule="auto"/>
        <w:jc w:val="both"/>
        <w:rPr>
          <w:rFonts w:ascii="Arial" w:hAnsi="Arial" w:cs="Arial"/>
          <w:sz w:val="20"/>
          <w:szCs w:val="20"/>
        </w:rPr>
      </w:pPr>
    </w:p>
    <w:p w:rsidR="004C732F" w:rsidRDefault="004C732F" w:rsidP="004C732F">
      <w:pPr>
        <w:autoSpaceDE w:val="0"/>
        <w:autoSpaceDN w:val="0"/>
        <w:adjustRightInd w:val="0"/>
        <w:spacing w:after="0" w:line="240" w:lineRule="auto"/>
        <w:jc w:val="both"/>
        <w:rPr>
          <w:rFonts w:ascii="Arial" w:hAnsi="Arial" w:cs="Arial"/>
          <w:sz w:val="20"/>
          <w:szCs w:val="20"/>
        </w:rPr>
      </w:pPr>
    </w:p>
    <w:sectPr w:rsidR="004C732F" w:rsidSect="008A238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3E8"/>
    <w:rsid w:val="004468D4"/>
    <w:rsid w:val="004C732F"/>
    <w:rsid w:val="006C6072"/>
    <w:rsid w:val="0082183E"/>
    <w:rsid w:val="00925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44AB6-AD8F-4885-BA4C-C2C39FC4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2CC2414CC785508648514228F9D66CCFC542907481D4B553DEAD301C928D2EE4DC05C38C2865DF3ACD3B9F0BD1FD87C4EEB11AE4F17B98DBAD85875T7U6H" TargetMode="External"/><Relationship Id="rId11" Type="http://schemas.openxmlformats.org/officeDocument/2006/relationships/fontTable" Target="fontTable.xml"/><Relationship Id="rId5" Type="http://schemas.openxmlformats.org/officeDocument/2006/relationships/hyperlink" Target="consultantplus://offline/ref=02CC2414CC785508648514228F9D66CCFC542907481D4B553DEAD301C928D2EE4DC05C38C2865DF4A5D1BAA2E450D92008BA02AC4A17BB8CA6TDUAH" TargetMode="External"/><Relationship Id="rId10" Type="http://schemas.openxmlformats.org/officeDocument/2006/relationships/hyperlink" Target="consultantplus://offline/ref=02CC2414CC78550864850A2F99F131C3F95B750A4919400063BDD5569678D4BB1F80026183C64EF2ADCBB3F6B7T1U4H" TargetMode="External"/><Relationship Id="rId4" Type="http://schemas.openxmlformats.org/officeDocument/2006/relationships/hyperlink" Target="consultantplus://offline/ref=02CC2414CC785508648514228F9D66CCFC542907481D49513DEAD301C928D2EE4DC05C38C2865DF3ACD5B4F4BC1FD87C4EEB11AE4F17B98DBAD85875T7U6H" TargetMode="External"/><Relationship Id="rId9" Type="http://schemas.openxmlformats.org/officeDocument/2006/relationships/hyperlink" Target="consultantplus://offline/ref=02CC2414CC78550864850A2F99F131C3F95B750A4919400063BDD5569678D4BB1F80026183C64EF2ADCBB3F6B7T1U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5532</Words>
  <Characters>31534</Characters>
  <Application>Microsoft Office Word</Application>
  <DocSecurity>0</DocSecurity>
  <Lines>262</Lines>
  <Paragraphs>73</Paragraphs>
  <ScaleCrop>false</ScaleCrop>
  <Company>diakov.net</Company>
  <LinksUpToDate>false</LinksUpToDate>
  <CharactersWithSpaces>36993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Войтэхович Александр Романович</dc:creator>
  <cp:keywords/>
  <dc:description/>
  <cp:lastModifiedBy>Войтэхович Александр Романович</cp:lastModifiedBy>
  <cp:revision>6</cp:revision>
  <dcterms:created xsi:type="dcterms:W3CDTF">2020-01-24T05:44:00Z</dcterms:created>
  <dcterms:modified xsi:type="dcterms:W3CDTF">2020-01-24T07:20:00Z</dcterms:modified>
</cp:coreProperties>
</file>