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</w:t>
            </w:r>
            <w:r w:rsidR="00744A8C"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среду по объекту </w:t>
            </w:r>
            <w:r w:rsidR="008C7BAC" w:rsidRPr="008C7BAC">
              <w:rPr>
                <w:rFonts w:ascii="Times New Roman" w:hAnsi="Times New Roman" w:cs="Times New Roman"/>
                <w:sz w:val="24"/>
                <w:szCs w:val="24"/>
              </w:rPr>
              <w:t>«Дорога внутрипромысловая на куст скважин 14». Верхнеказымское нефтяное месторождение, шифр 16441</w:t>
            </w:r>
            <w:bookmarkStart w:id="0" w:name="_GoBack"/>
            <w:bookmarkEnd w:id="0"/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Pr="006E3F5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8" w:rsidRDefault="00597FB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8" w:rsidRDefault="00597FB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AC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97FB8"/>
    <w:rsid w:val="005B559E"/>
    <w:rsid w:val="006048DA"/>
    <w:rsid w:val="006E3F5C"/>
    <w:rsid w:val="006F284F"/>
    <w:rsid w:val="00744A8C"/>
    <w:rsid w:val="007F3360"/>
    <w:rsid w:val="008C7BAC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40472"/>
    <w:rsid w:val="00D52475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33</cp:revision>
  <cp:lastPrinted>2021-09-28T04:27:00Z</cp:lastPrinted>
  <dcterms:created xsi:type="dcterms:W3CDTF">2021-09-08T10:04:00Z</dcterms:created>
  <dcterms:modified xsi:type="dcterms:W3CDTF">2022-10-28T12:22:00Z</dcterms:modified>
</cp:coreProperties>
</file>