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3B3F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7256D0" w:rsidRPr="00E65AA4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7F" w:rsidRPr="00DA2246" w:rsidRDefault="00FE3C7F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Pr="00D76F45" w:rsidRDefault="007256D0" w:rsidP="00D76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3B3FC1">
        <w:rPr>
          <w:rFonts w:ascii="Times New Roman" w:hAnsi="Times New Roman"/>
          <w:sz w:val="24"/>
          <w:szCs w:val="24"/>
        </w:rPr>
        <w:t>3 квартал</w:t>
      </w:r>
      <w:r>
        <w:rPr>
          <w:rFonts w:ascii="Times New Roman" w:hAnsi="Times New Roman"/>
          <w:sz w:val="24"/>
          <w:szCs w:val="24"/>
        </w:rPr>
        <w:t xml:space="preserve">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7256D0" w:rsidRPr="002029B6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D0" w:rsidRPr="009A2BAB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A54E53">
        <w:rPr>
          <w:rFonts w:ascii="Times New Roman" w:hAnsi="Times New Roman" w:cs="Times New Roman"/>
          <w:b/>
          <w:sz w:val="24"/>
          <w:szCs w:val="24"/>
        </w:rPr>
        <w:t>сельского поселения Сосновка;</w:t>
      </w:r>
    </w:p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B3FC1" w:rsidRPr="003B3FC1">
        <w:rPr>
          <w:rFonts w:ascii="Times New Roman" w:hAnsi="Times New Roman" w:cs="Times New Roman"/>
          <w:i/>
          <w:sz w:val="24"/>
          <w:szCs w:val="24"/>
        </w:rPr>
        <w:t>13</w:t>
      </w:r>
      <w:r w:rsidRPr="003B3FC1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200150" w:rsidRPr="003B3FC1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256D0" w:rsidRPr="000871B6" w:rsidRDefault="007256D0" w:rsidP="007256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3B3FC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0150" w:rsidRPr="00F03E07" w:rsidTr="00007F64">
        <w:tc>
          <w:tcPr>
            <w:tcW w:w="567" w:type="dxa"/>
            <w:vAlign w:val="center"/>
          </w:tcPr>
          <w:p w:rsidR="00200150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200150" w:rsidRPr="00F03E07" w:rsidRDefault="00200150" w:rsidP="0020015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Сосновка, приводящих к изменению доходов сельского поселения Сосновка,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00150" w:rsidRDefault="0020015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7938" w:type="dxa"/>
            <w:gridSpan w:val="2"/>
            <w:vAlign w:val="center"/>
          </w:tcPr>
          <w:p w:rsidR="007256D0" w:rsidRPr="00021D4B" w:rsidRDefault="007256D0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021D4B" w:rsidRDefault="003B3FC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7F" w:rsidRDefault="00BD0921" w:rsidP="009C200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3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>в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E3C7F"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6E68E6"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 года </w:t>
      </w:r>
      <w:r w:rsidR="00FE3C7F" w:rsidRPr="006E68E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6E68E6" w:rsidRPr="006E68E6">
        <w:rPr>
          <w:rFonts w:ascii="Times New Roman" w:hAnsi="Times New Roman" w:cs="Times New Roman"/>
          <w:color w:val="000000"/>
          <w:sz w:val="24"/>
          <w:szCs w:val="24"/>
        </w:rPr>
        <w:t>квартальный отчет</w:t>
      </w:r>
      <w:r w:rsidR="00FE3C7F" w:rsidRPr="006E68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сельского поселения </w:t>
      </w:r>
      <w:r w:rsidR="00FE3C7F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  <w:r w:rsidR="006E6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3C7F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FE3C7F">
        <w:rPr>
          <w:rFonts w:ascii="Times New Roman" w:hAnsi="Times New Roman" w:cs="Times New Roman"/>
          <w:b/>
          <w:sz w:val="24"/>
          <w:szCs w:val="24"/>
        </w:rPr>
        <w:t>Сосновка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E68E6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2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3C7F" w:rsidRPr="006F6DA0">
        <w:rPr>
          <w:rFonts w:ascii="Times New Roman" w:hAnsi="Times New Roman" w:cs="Times New Roman"/>
          <w:b/>
          <w:sz w:val="24"/>
          <w:szCs w:val="24"/>
        </w:rPr>
        <w:t>2022 года»</w:t>
      </w:r>
      <w:r w:rsidR="006E6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E6" w:rsidRPr="006E68E6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FE3C7F" w:rsidRPr="006E68E6">
        <w:rPr>
          <w:rFonts w:ascii="Times New Roman" w:hAnsi="Times New Roman" w:cs="Times New Roman"/>
          <w:b/>
          <w:sz w:val="24"/>
          <w:szCs w:val="24"/>
        </w:rPr>
        <w:t>;</w:t>
      </w:r>
    </w:p>
    <w:p w:rsidR="00DD1257" w:rsidRPr="00511333" w:rsidRDefault="00DD1257" w:rsidP="00DD12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257" w:rsidRPr="00511333" w:rsidRDefault="00DD1257" w:rsidP="00DD12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не оказало влияния на достоверность квартального отчета. Квартальный отчет в целом является достоверным.</w:t>
      </w:r>
    </w:p>
    <w:p w:rsidR="00450016" w:rsidRDefault="00450016" w:rsidP="0045001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450016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13 039 214,33 </w:t>
      </w:r>
      <w:r w:rsidRPr="0045001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12 508 350,52 рублей, с профицитом бюджета поселения в сумме                                       (+)530 863,81</w:t>
      </w:r>
      <w:r w:rsidRPr="004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1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рубля.</w:t>
      </w:r>
      <w:r w:rsidRPr="0045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Остаток денежных средств на 1 июля 2022 года на счетах бюджета поселения по бюджетной деятельности составил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11 085 233,85</w:t>
      </w:r>
      <w:r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, по средствам во временном распоряжении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–</w:t>
      </w:r>
      <w:r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772 045,80</w:t>
      </w:r>
      <w:r w:rsidRPr="00B356E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</w:p>
    <w:p w:rsidR="00450016" w:rsidRPr="00450016" w:rsidRDefault="00450016" w:rsidP="00450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0016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по исполнению бюджета поселения за 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450016" w:rsidRDefault="00450016" w:rsidP="00450016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квартального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Pr="006F6DA0">
        <w:rPr>
          <w:rFonts w:ascii="Times New Roman" w:hAnsi="Times New Roman" w:cs="Times New Roman"/>
          <w:sz w:val="24"/>
          <w:szCs w:val="24"/>
        </w:rPr>
        <w:t>подготовлено заключение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31.08.</w:t>
      </w:r>
      <w:r w:rsidRPr="006F6DA0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>№ 51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C7" w:rsidRDefault="009D41C7" w:rsidP="00450016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1C7" w:rsidRPr="00021D4B" w:rsidRDefault="009D41C7" w:rsidP="009D41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Сосновка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46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Сосновка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 xml:space="preserve">, (далее – проект решения о внесении изменений в </w:t>
      </w:r>
      <w:r w:rsidR="00C1725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021D4B">
        <w:rPr>
          <w:rFonts w:ascii="Times New Roman" w:hAnsi="Times New Roman" w:cs="Times New Roman"/>
          <w:sz w:val="24"/>
          <w:szCs w:val="24"/>
        </w:rPr>
        <w:t>бюджет</w:t>
      </w:r>
      <w:r w:rsidR="00C17253">
        <w:rPr>
          <w:rFonts w:ascii="Times New Roman" w:hAnsi="Times New Roman" w:cs="Times New Roman"/>
          <w:sz w:val="24"/>
          <w:szCs w:val="24"/>
        </w:rPr>
        <w:t>е</w:t>
      </w:r>
      <w:r w:rsidRPr="00021D4B">
        <w:rPr>
          <w:rFonts w:ascii="Times New Roman" w:hAnsi="Times New Roman" w:cs="Times New Roman"/>
          <w:sz w:val="24"/>
          <w:szCs w:val="24"/>
        </w:rPr>
        <w:t xml:space="preserve">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1C7" w:rsidRDefault="009D41C7" w:rsidP="009D41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о внесении изменений в решение о бюджете поселения контрольно-счетной палатой Белоярского района подготовлено заключение от</w:t>
      </w:r>
      <w:r w:rsidR="00527DFB">
        <w:rPr>
          <w:rFonts w:ascii="Times New Roman" w:hAnsi="Times New Roman" w:cs="Times New Roman"/>
          <w:sz w:val="24"/>
          <w:szCs w:val="24"/>
        </w:rPr>
        <w:t xml:space="preserve"> 16.09.2022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7DF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1C7" w:rsidRDefault="009D41C7" w:rsidP="009D41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F47F85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527DFB" w:rsidRDefault="00527DFB" w:rsidP="00527DF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F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сельского поселения Сосновка 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Сосновка от 9 декабря 2021 года № 46 «О бюджете сельского поселения Сосновка на 2022 год и плановый период 2023 и        2024 годов».</w:t>
      </w:r>
    </w:p>
    <w:p w:rsidR="00527DFB" w:rsidRDefault="00527DFB" w:rsidP="00527DF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(+)8 588 564,04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рубля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41 500,00 рублей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8 547 064,04 рубля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(субсидии, субвенции и иные межбюджетные трансферты).</w:t>
      </w:r>
    </w:p>
    <w:p w:rsidR="00527DFB" w:rsidRDefault="00527DFB" w:rsidP="0052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2022 год уточнены на </w:t>
      </w:r>
      <w:r w:rsidRPr="00527DFB">
        <w:rPr>
          <w:rFonts w:ascii="Times New Roman" w:eastAsia="Times New Roman" w:hAnsi="Times New Roman" w:cs="Times New Roman"/>
          <w:sz w:val="24"/>
          <w:szCs w:val="24"/>
        </w:rPr>
        <w:t>(+)9 872 349,99 рублей, из них за счет остатка средств на счетах по учету средств бюджета поселения на 1 января 2022 года в сумме 1 283 785,95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17253">
        <w:rPr>
          <w:rFonts w:ascii="Times New Roman" w:eastAsia="Times New Roman" w:hAnsi="Times New Roman" w:cs="Times New Roman"/>
          <w:sz w:val="24"/>
          <w:szCs w:val="24"/>
        </w:rPr>
        <w:t>. Уточняемые средства н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Сосновка</w:t>
      </w:r>
      <w:r w:rsidRPr="00721292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F85" w:rsidRDefault="00F47F85" w:rsidP="00F47F85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31 414 664,04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рубля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47F85">
        <w:rPr>
          <w:rFonts w:ascii="Times New Roman" w:eastAsia="Times New Roman" w:hAnsi="Times New Roman" w:cs="Times New Roman"/>
          <w:sz w:val="24"/>
          <w:szCs w:val="24"/>
          <w:lang w:eastAsia="ru-RU"/>
        </w:rPr>
        <w:t>41 969 034,08 рубля</w:t>
      </w:r>
      <w:r w:rsidRPr="00F47F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с дефицитом бюджета поселения в объеме 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(-)</w:t>
      </w:r>
      <w:r>
        <w:rPr>
          <w:rFonts w:ascii="Times New Roman" w:eastAsia="Times New Roman" w:hAnsi="Times New Roman" w:cs="Times New Roman"/>
          <w:sz w:val="24"/>
          <w:szCs w:val="24"/>
        </w:rPr>
        <w:t>10 554 370,44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C6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243E43" w:rsidRPr="003841FD" w:rsidRDefault="00243E43" w:rsidP="00243E43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планового периода 2023 и 2024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243E43" w:rsidRDefault="00243E43" w:rsidP="00243E43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Сосновка от 29.09.2022 года № 34)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527DFB" w:rsidRDefault="00D76F45" w:rsidP="00527DF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мероприятия в 3 квартале не проводились.</w:t>
      </w:r>
    </w:p>
    <w:p w:rsidR="00FE3C7F" w:rsidRDefault="00FE3C7F" w:rsidP="00FE3C7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C7F" w:rsidRPr="006F6DA0" w:rsidRDefault="00FE3C7F" w:rsidP="00FE3C7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72" w:rsidRPr="00D76F45" w:rsidRDefault="004E2472" w:rsidP="009D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472" w:rsidRPr="00D76F45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B2" w:rsidRDefault="00AA1BB2" w:rsidP="00043AB0">
      <w:pPr>
        <w:spacing w:after="0" w:line="240" w:lineRule="auto"/>
      </w:pPr>
      <w:r>
        <w:separator/>
      </w:r>
    </w:p>
  </w:endnote>
  <w:endnote w:type="continuationSeparator" w:id="0">
    <w:p w:rsidR="00AA1BB2" w:rsidRDefault="00AA1BB2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B2" w:rsidRDefault="00AA1BB2" w:rsidP="00043AB0">
      <w:pPr>
        <w:spacing w:after="0" w:line="240" w:lineRule="auto"/>
      </w:pPr>
      <w:r>
        <w:separator/>
      </w:r>
    </w:p>
  </w:footnote>
  <w:footnote w:type="continuationSeparator" w:id="0">
    <w:p w:rsidR="00AA1BB2" w:rsidRDefault="00AA1BB2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09D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4C78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3F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77C5E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0150"/>
    <w:rsid w:val="00201202"/>
    <w:rsid w:val="002029B6"/>
    <w:rsid w:val="002033A6"/>
    <w:rsid w:val="0020403B"/>
    <w:rsid w:val="002041F1"/>
    <w:rsid w:val="00204D82"/>
    <w:rsid w:val="002079B5"/>
    <w:rsid w:val="0021128C"/>
    <w:rsid w:val="002142DF"/>
    <w:rsid w:val="00217562"/>
    <w:rsid w:val="002203A6"/>
    <w:rsid w:val="00223F42"/>
    <w:rsid w:val="00224313"/>
    <w:rsid w:val="00224D7C"/>
    <w:rsid w:val="002322DD"/>
    <w:rsid w:val="00241AB9"/>
    <w:rsid w:val="00243E43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69C"/>
    <w:rsid w:val="0030380D"/>
    <w:rsid w:val="00306448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3FC1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0016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218E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4F762C"/>
    <w:rsid w:val="0050326A"/>
    <w:rsid w:val="00505D3A"/>
    <w:rsid w:val="00506526"/>
    <w:rsid w:val="00521596"/>
    <w:rsid w:val="00523BE1"/>
    <w:rsid w:val="00527C00"/>
    <w:rsid w:val="00527DFB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100E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04B3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E68E6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56D0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6798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973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01C2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5A84"/>
    <w:rsid w:val="009B7168"/>
    <w:rsid w:val="009B7234"/>
    <w:rsid w:val="009C0979"/>
    <w:rsid w:val="009C0DDC"/>
    <w:rsid w:val="009C2004"/>
    <w:rsid w:val="009C3C6F"/>
    <w:rsid w:val="009C5D15"/>
    <w:rsid w:val="009D17B8"/>
    <w:rsid w:val="009D2073"/>
    <w:rsid w:val="009D39C1"/>
    <w:rsid w:val="009D41C7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4E53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1BB2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04A5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0921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25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6F45"/>
    <w:rsid w:val="00D77558"/>
    <w:rsid w:val="00D81C47"/>
    <w:rsid w:val="00D8296C"/>
    <w:rsid w:val="00D82DAF"/>
    <w:rsid w:val="00D845FB"/>
    <w:rsid w:val="00D922F5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1257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69FF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913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1A0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47F85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3C7F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0B99-B36D-4352-8ADC-1BF48BCF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728</cp:revision>
  <cp:lastPrinted>2022-10-10T11:06:00Z</cp:lastPrinted>
  <dcterms:created xsi:type="dcterms:W3CDTF">2013-04-01T05:21:00Z</dcterms:created>
  <dcterms:modified xsi:type="dcterms:W3CDTF">2022-10-10T11:07:00Z</dcterms:modified>
</cp:coreProperties>
</file>