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95" w:rsidRPr="005E5CDF" w:rsidRDefault="001C0A4F" w:rsidP="001C0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CDF">
        <w:rPr>
          <w:rFonts w:ascii="Times New Roman" w:hAnsi="Times New Roman" w:cs="Times New Roman"/>
          <w:sz w:val="24"/>
          <w:szCs w:val="24"/>
        </w:rPr>
        <w:t>РАЗМЕР СУБСИДИИ НА ПОДДЕРЖКУ И РАЗВИТИЕ МАЛЫХ ФОРМ ХОЗЯЙСТВОВАНИЯ</w:t>
      </w:r>
    </w:p>
    <w:p w:rsidR="001C0A4F" w:rsidRPr="005E5CDF" w:rsidRDefault="001C0A4F" w:rsidP="001C0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1C0A4F" w:rsidRPr="005E5CDF" w:rsidTr="005E5CDF">
        <w:tc>
          <w:tcPr>
            <w:tcW w:w="7083" w:type="dxa"/>
          </w:tcPr>
          <w:p w:rsidR="001C0A4F" w:rsidRPr="005E5CDF" w:rsidRDefault="005E5CDF" w:rsidP="001C0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DF">
              <w:rPr>
                <w:rFonts w:ascii="Times New Roman" w:hAnsi="Times New Roman" w:cs="Times New Roman"/>
                <w:sz w:val="24"/>
                <w:szCs w:val="24"/>
              </w:rPr>
              <w:t>Направление поддержки</w:t>
            </w:r>
          </w:p>
        </w:tc>
        <w:tc>
          <w:tcPr>
            <w:tcW w:w="2262" w:type="dxa"/>
          </w:tcPr>
          <w:p w:rsidR="001C0A4F" w:rsidRPr="005E5CDF" w:rsidRDefault="005E5CDF" w:rsidP="001C0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DF">
              <w:rPr>
                <w:rFonts w:ascii="Times New Roman" w:hAnsi="Times New Roman" w:cs="Times New Roman"/>
                <w:sz w:val="24"/>
                <w:szCs w:val="24"/>
              </w:rPr>
              <w:t>Размер субсидии</w:t>
            </w:r>
          </w:p>
        </w:tc>
      </w:tr>
      <w:tr w:rsidR="001C0A4F" w:rsidRPr="005E5CDF" w:rsidTr="005E5CDF">
        <w:tc>
          <w:tcPr>
            <w:tcW w:w="7083" w:type="dxa"/>
          </w:tcPr>
          <w:p w:rsidR="005E5CDF" w:rsidRPr="005E5CDF" w:rsidRDefault="005E5CDF" w:rsidP="005E5CD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DF">
              <w:rPr>
                <w:rFonts w:ascii="Times New Roman" w:hAnsi="Times New Roman" w:cs="Times New Roman"/>
                <w:sz w:val="24"/>
                <w:szCs w:val="24"/>
              </w:rPr>
              <w:t>капитальное строительство сельскохозяйственных объектов, объектов перерабатывающих производств сельскохозяйственной продукции;</w:t>
            </w:r>
          </w:p>
          <w:p w:rsidR="005E5CDF" w:rsidRPr="005E5CDF" w:rsidRDefault="005E5CDF" w:rsidP="005E5CD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DF">
              <w:rPr>
                <w:rFonts w:ascii="Times New Roman" w:hAnsi="Times New Roman" w:cs="Times New Roman"/>
                <w:sz w:val="24"/>
                <w:szCs w:val="24"/>
              </w:rPr>
              <w:t>модернизация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</w:t>
            </w:r>
          </w:p>
          <w:p w:rsidR="005E5CDF" w:rsidRPr="005E5CDF" w:rsidRDefault="005E5CDF" w:rsidP="005E5CD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DF">
              <w:rPr>
                <w:rFonts w:ascii="Times New Roman" w:hAnsi="Times New Roman" w:cs="Times New Roman"/>
                <w:sz w:val="24"/>
                <w:szCs w:val="24"/>
              </w:rPr>
              <w:t>строительство,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продукции;</w:t>
            </w:r>
          </w:p>
          <w:p w:rsidR="005E5CDF" w:rsidRPr="005E5CDF" w:rsidRDefault="005E5CDF" w:rsidP="005E5CD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DF">
              <w:rPr>
                <w:rFonts w:ascii="Times New Roman" w:hAnsi="Times New Roman" w:cs="Times New Roman"/>
                <w:sz w:val="24"/>
                <w:szCs w:val="24"/>
              </w:rPr>
              <w:t>приобретение мобильных высокотехнологичных убойных пунктов с целью сбора эндокринно-ферментного и специального сырья при убое оленей (для оленеводческих организаций, занимающихся первичной переработкой мяса, иных продуктов убоя, побочного сырья (субпродуктов, крови, рогов, кожевенного и другого технического сырья)) - для юридических лиц - оленеводческих организаций.</w:t>
            </w:r>
          </w:p>
          <w:p w:rsidR="005E5CDF" w:rsidRPr="005E5CDF" w:rsidRDefault="005E5CDF" w:rsidP="005E5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4F" w:rsidRPr="005E5CDF" w:rsidRDefault="001C0A4F" w:rsidP="001C0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1C0A4F" w:rsidRDefault="001C0A4F" w:rsidP="001C0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CDF" w:rsidRDefault="005E5CDF" w:rsidP="001C0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50 % </w:t>
            </w:r>
          </w:p>
          <w:p w:rsidR="005E5CDF" w:rsidRPr="005E5CDF" w:rsidRDefault="005E5CDF" w:rsidP="001C0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фактических затрат, но не более 3,0 млн. рублей</w:t>
            </w:r>
          </w:p>
        </w:tc>
      </w:tr>
      <w:tr w:rsidR="005E5CDF" w:rsidRPr="005E5CDF" w:rsidTr="005E5CDF">
        <w:tc>
          <w:tcPr>
            <w:tcW w:w="7083" w:type="dxa"/>
          </w:tcPr>
          <w:p w:rsidR="005E5CDF" w:rsidRPr="005E5CDF" w:rsidRDefault="005E5CDF" w:rsidP="005E5CD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D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сельскохозяйственной техники из перечня, утвержденного приказом Департамента промышленности Ханты-Мансийского автономного округа - Югры № 38-П-204 от 15 июля 2020 года «О перечне сельскохозяйственной техники приобретаемой за счёт субсидии, предоставляемой на поддержку малых форм хозяйствования, на развитие материально-технической базы (за исключением личных подсобных хозяйств) в соответствие с постановлением Правительства Ханты-Мансийского автономного округа от 5 октября 2018 года № 344-п «О государственной программе Ханты-Мансийского автономного округа – Югры «Развитие агропромышленного комплекса», и (или) соответствующей </w:t>
            </w:r>
            <w:hyperlink r:id="rId4" w:history="1">
              <w:r w:rsidRPr="005E5CDF">
                <w:rPr>
                  <w:rFonts w:ascii="Times New Roman" w:hAnsi="Times New Roman" w:cs="Times New Roman"/>
                  <w:sz w:val="24"/>
                  <w:szCs w:val="24"/>
                </w:rPr>
                <w:t>требованиям</w:t>
              </w:r>
            </w:hyperlink>
            <w:r w:rsidRPr="005E5CDF">
              <w:rPr>
                <w:rFonts w:ascii="Times New Roman" w:hAnsi="Times New Roman" w:cs="Times New Roman"/>
                <w:sz w:val="24"/>
                <w:szCs w:val="24"/>
              </w:rPr>
              <w:t>, установленным постановлением Правительства Российской Федерации от 17 июля 2015 года № 719 «О подтверждении производства промышленной продукции на территории Российской Федерации», оборудования, средств механизации и автоматизации сельскохозяйственных производств»</w:t>
            </w:r>
          </w:p>
          <w:p w:rsidR="005E5CDF" w:rsidRPr="005E5CDF" w:rsidRDefault="005E5CDF" w:rsidP="005E5CD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E5CDF" w:rsidRDefault="005E5CDF" w:rsidP="005E5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50 % </w:t>
            </w:r>
          </w:p>
          <w:p w:rsidR="005E5CDF" w:rsidRDefault="005E5CDF" w:rsidP="005E5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фактических затрат, но не более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</w:t>
            </w:r>
          </w:p>
        </w:tc>
      </w:tr>
      <w:tr w:rsidR="005E5CDF" w:rsidRPr="005E5CDF" w:rsidTr="005E5CDF">
        <w:tc>
          <w:tcPr>
            <w:tcW w:w="7083" w:type="dxa"/>
          </w:tcPr>
          <w:p w:rsidR="005E5CDF" w:rsidRPr="005E5CDF" w:rsidRDefault="005E5CDF" w:rsidP="005E5CD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DF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перерабатывающих производств сельскохозяйственной продукции</w:t>
            </w:r>
          </w:p>
          <w:p w:rsidR="005E5CDF" w:rsidRPr="005E5CDF" w:rsidRDefault="005E5CDF" w:rsidP="005E5CD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E5CDF" w:rsidRDefault="005E5CDF" w:rsidP="005E5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50 % </w:t>
            </w:r>
          </w:p>
          <w:p w:rsidR="005E5CDF" w:rsidRDefault="005E5CDF" w:rsidP="005E5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фактических затрат, но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</w:t>
            </w:r>
          </w:p>
        </w:tc>
      </w:tr>
    </w:tbl>
    <w:p w:rsidR="001C0A4F" w:rsidRPr="001C0A4F" w:rsidRDefault="001C0A4F" w:rsidP="001C0A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1C0A4F" w:rsidRPr="001C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95"/>
    <w:rsid w:val="001C0A4F"/>
    <w:rsid w:val="00283295"/>
    <w:rsid w:val="004468D4"/>
    <w:rsid w:val="005E5CDF"/>
    <w:rsid w:val="0082183E"/>
    <w:rsid w:val="00A24D79"/>
    <w:rsid w:val="00F237C1"/>
    <w:rsid w:val="00FC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3F76"/>
  <w15:chartTrackingRefBased/>
  <w15:docId w15:val="{47EA5DE0-EA97-42A6-89D4-8B04795F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D3677D4326F75EDE503B0A23332660B3714F5C71F83D084FFC7259D95C59CB4B020699203606376F3413391BB5684D637E54126711ACFB6iEj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6</cp:revision>
  <dcterms:created xsi:type="dcterms:W3CDTF">2020-01-27T08:38:00Z</dcterms:created>
  <dcterms:modified xsi:type="dcterms:W3CDTF">2021-03-26T10:15:00Z</dcterms:modified>
</cp:coreProperties>
</file>