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C3262B" w:rsidP="00215830">
      <w:pPr>
        <w:ind w:left="-142"/>
        <w:rPr>
          <w:lang w:val="en-US"/>
        </w:rPr>
      </w:pPr>
      <w:r w:rsidRPr="00C3262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5pt;margin-top:87.9pt;width:428.5pt;height:671.55pt;z-index:251660288;mso-width-relative:margin;mso-height-relative:margin" stroked="f">
            <v:textbox>
              <w:txbxContent>
                <w:p w:rsidR="003B1F02" w:rsidRDefault="003B1F02" w:rsidP="003B1F02">
                  <w:pPr>
                    <w:tabs>
                      <w:tab w:val="left" w:pos="567"/>
                    </w:tabs>
                    <w:ind w:firstLine="567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B1F02">
                    <w:rPr>
                      <w:b/>
                      <w:sz w:val="24"/>
                      <w:szCs w:val="24"/>
                    </w:rPr>
                    <w:t>МАУ «Белоярский МФЦ» для физических лиц и субъектов малого и среднего предпринимательства оказывает услугу по регистрации на Портале Бизнес-навигатора МСП,  в рамках оказания услуг АО «Корпорация «МСП».</w:t>
                  </w:r>
                </w:p>
                <w:p w:rsidR="003B1F02" w:rsidRPr="003B1F02" w:rsidRDefault="003B1F02" w:rsidP="003B1F02">
                  <w:pPr>
                    <w:tabs>
                      <w:tab w:val="left" w:pos="567"/>
                    </w:tabs>
                    <w:ind w:firstLine="567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3B1F02" w:rsidRPr="003B1F02" w:rsidRDefault="003B1F02" w:rsidP="003B1F02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B1F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Заявителями на предоставление Услуги являются: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граждане Российской Федерации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иностранные граждане и лица без гражданства, имеющие место проживания или место жительства в Российской Федерации (далее – физические лица)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индивидуальные предприниматели и юридические лица, соответствующие условиям отнесения к субъектам МСП, установленным частью 1.1 статьи 4 Федерального закона N 209-ФЗ, и включенные в единый реестр субъектов малого и среднего предпринимательства.</w:t>
                  </w:r>
                </w:p>
                <w:p w:rsidR="003B1F02" w:rsidRPr="003B1F02" w:rsidRDefault="003B1F02" w:rsidP="003B1F02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B1F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Услуга предоставляется в целях оказания заявителю информационной и маркетинговой поддержки посредством Портала Бизнес Навигатора, использование которого предоставляет возможность получателям поддержки Корпорации: 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  <w:lang w:val="en-US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определить доступную рыночную нишу для открытия или расширения бизнеса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рассчитать примерный бизнес – план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получить информацию о кредитных продуктах банков, включая информацию о банках, контактных данных региональных гарантийных организаций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о планах закупки товаров, работ, услуг конкретных и отдельных заказчиков, определяемых Правительством Российской Федерации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о мерах поддержки малого и среднего предпринимательства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  <w:lang w:val="en-US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о недвижимом имуществе, включенном в перечни государственного и муниципального имущества, предусмотренные частью 4 статьи 18 Федерального закона N 209-ФЗ, и свободном от прав третьих лиц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 xml:space="preserve">недвижимом </w:t>
                  </w:r>
                  <w:proofErr w:type="gramStart"/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имуществе</w:t>
                  </w:r>
                  <w:proofErr w:type="gramEnd"/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, свободном для аренды или продажи и находящемся в частной собственности</w:t>
                  </w:r>
                </w:p>
                <w:p w:rsidR="003B1F02" w:rsidRPr="003B1F02" w:rsidRDefault="003B1F02" w:rsidP="003B1F02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spacing w:after="120" w:line="240" w:lineRule="auto"/>
                    <w:ind w:left="1281" w:hanging="357"/>
                    <w:jc w:val="both"/>
                    <w:rPr>
                      <w:rFonts w:eastAsia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3B1F02">
                    <w:rPr>
                      <w:rFonts w:ascii="Arial" w:eastAsia="Times New Roman" w:hAnsi="Arial" w:cs="Arial"/>
                      <w:color w:val="984806" w:themeColor="accent6" w:themeShade="80"/>
                      <w:sz w:val="24"/>
                      <w:szCs w:val="24"/>
                    </w:rPr>
                    <w:t>о месторасположении, времени работы и контактных данных МФЦ, других организаций инфраструктуры поддержки малого и среднего предпринимательства</w:t>
                  </w:r>
                  <w:r w:rsidRPr="003B1F02">
                    <w:rPr>
                      <w:rFonts w:eastAsia="Times New Roman"/>
                      <w:color w:val="984806" w:themeColor="accent6" w:themeShade="80"/>
                      <w:sz w:val="24"/>
                      <w:szCs w:val="24"/>
                    </w:rPr>
                    <w:t>.</w:t>
                  </w:r>
                </w:p>
                <w:p w:rsidR="003B1F02" w:rsidRPr="003B1F02" w:rsidRDefault="003B1F02" w:rsidP="003B1F02">
                  <w:pPr>
                    <w:pStyle w:val="a6"/>
                    <w:tabs>
                      <w:tab w:val="left" w:pos="567"/>
                    </w:tabs>
                    <w:spacing w:after="120" w:line="240" w:lineRule="auto"/>
                    <w:ind w:left="1281"/>
                    <w:jc w:val="both"/>
                    <w:rPr>
                      <w:rFonts w:eastAsia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3B1F02" w:rsidRPr="003B1F02" w:rsidRDefault="003B1F02" w:rsidP="003B1F02">
                  <w:pPr>
                    <w:ind w:firstLine="567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B1F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Результатом оказания услуги будет являться направление/предоставление информации о регистрации  физического лица или субъекта МСП на портале Бизнес-Навигатора, с присвоением логина/пароля. </w:t>
                  </w:r>
                </w:p>
                <w:p w:rsidR="00DE5C4B" w:rsidRPr="003B1F02" w:rsidRDefault="00DE5C4B" w:rsidP="003B1F0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B6900" w:rsidRPr="003B1F02" w:rsidRDefault="005B690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3FA"/>
    <w:multiLevelType w:val="hybridMultilevel"/>
    <w:tmpl w:val="10A6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4A438A4"/>
    <w:multiLevelType w:val="hybridMultilevel"/>
    <w:tmpl w:val="6A047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390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B1F02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507E6A"/>
    <w:rsid w:val="00510AD8"/>
    <w:rsid w:val="00511109"/>
    <w:rsid w:val="005160DA"/>
    <w:rsid w:val="005229FE"/>
    <w:rsid w:val="00530584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800D4F"/>
    <w:rsid w:val="0082716F"/>
    <w:rsid w:val="00842475"/>
    <w:rsid w:val="00857F7D"/>
    <w:rsid w:val="00881658"/>
    <w:rsid w:val="00886084"/>
    <w:rsid w:val="0089360F"/>
    <w:rsid w:val="008C21BB"/>
    <w:rsid w:val="008C2FAC"/>
    <w:rsid w:val="008C3FAF"/>
    <w:rsid w:val="00910D5A"/>
    <w:rsid w:val="00914317"/>
    <w:rsid w:val="009336C0"/>
    <w:rsid w:val="00934903"/>
    <w:rsid w:val="00947061"/>
    <w:rsid w:val="009571C8"/>
    <w:rsid w:val="00960D3C"/>
    <w:rsid w:val="009678C1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A7A70"/>
    <w:rsid w:val="00AD69DD"/>
    <w:rsid w:val="00AD722C"/>
    <w:rsid w:val="00AF42CD"/>
    <w:rsid w:val="00B124E9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62B"/>
    <w:rsid w:val="00C32E00"/>
    <w:rsid w:val="00C3692A"/>
    <w:rsid w:val="00C4082B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60EB1"/>
    <w:rsid w:val="00D873BF"/>
    <w:rsid w:val="00D931B5"/>
    <w:rsid w:val="00D964AF"/>
    <w:rsid w:val="00DA042B"/>
    <w:rsid w:val="00DC3987"/>
    <w:rsid w:val="00DD59BB"/>
    <w:rsid w:val="00DE133C"/>
    <w:rsid w:val="00DE5C4B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styleId="a6">
    <w:name w:val="List Paragraph"/>
    <w:basedOn w:val="a"/>
    <w:uiPriority w:val="34"/>
    <w:qFormat/>
    <w:rsid w:val="00DE5C4B"/>
    <w:pPr>
      <w:spacing w:after="200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kmp20</cp:lastModifiedBy>
  <cp:revision>2</cp:revision>
  <cp:lastPrinted>2014-09-03T13:53:00Z</cp:lastPrinted>
  <dcterms:created xsi:type="dcterms:W3CDTF">2017-07-18T06:56:00Z</dcterms:created>
  <dcterms:modified xsi:type="dcterms:W3CDTF">2017-07-18T06:56:00Z</dcterms:modified>
</cp:coreProperties>
</file>