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EA" w:rsidRDefault="00DA47EA" w:rsidP="00DA47E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18</w:t>
      </w:r>
    </w:p>
    <w:p w:rsidR="00DA47EA" w:rsidRDefault="00DA47EA" w:rsidP="00DA4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DA47EA" w:rsidRDefault="00DA47EA" w:rsidP="00DA4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Ханты-Мансийского автономного округа - Югры</w:t>
      </w:r>
    </w:p>
    <w:p w:rsidR="00DA47EA" w:rsidRDefault="00DA47EA" w:rsidP="00DA4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агропромышленного комплекса"</w:t>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w:t>
      </w:r>
    </w:p>
    <w:p w:rsidR="00DA47EA" w:rsidRDefault="00DA47EA" w:rsidP="00DA47E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РАСЧЕТА И ПРЕДОСТАВЛЕНИЯ СУБСИДИЙ НА РАЗВИТИЕ СИСТЕМЫ</w:t>
      </w:r>
    </w:p>
    <w:p w:rsidR="00DA47EA" w:rsidRDefault="00DA47EA" w:rsidP="00DA47E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ЗАГОТОВКИ И ПЕРЕРАБОТКИ ДИКОРОСОВ (ДАЛЕЕ - ПОРЯДОК)</w:t>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Условия предоставления и размер субсидий</w:t>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Порядок определяет правила расчета и предоставления субсидий для реализации мероприятия 4.1 "Государственная поддержка развития системы заготовки и переработки дикоросов" </w:t>
      </w:r>
      <w:hyperlink r:id="rId4" w:history="1">
        <w:r>
          <w:rPr>
            <w:rFonts w:ascii="Arial" w:hAnsi="Arial" w:cs="Arial"/>
            <w:color w:val="0000FF"/>
            <w:sz w:val="20"/>
            <w:szCs w:val="20"/>
          </w:rPr>
          <w:t>подпрограммы 4</w:t>
        </w:r>
      </w:hyperlink>
      <w:r>
        <w:rPr>
          <w:rFonts w:ascii="Arial" w:hAnsi="Arial" w:cs="Arial"/>
          <w:sz w:val="20"/>
          <w:szCs w:val="20"/>
        </w:rPr>
        <w:t xml:space="preserve"> "Поддержка развития системы заготовки и переработки дикоросов, стимулирование развития агропромышленного комплекса" на развитие системы заготовки и переработки дикоросов (далее - субсидии) из бюджетов муниципальных образований за счет субвенций из бюджета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0" w:name="Par12"/>
      <w:bookmarkEnd w:id="0"/>
      <w:r>
        <w:rPr>
          <w:rFonts w:ascii="Arial" w:hAnsi="Arial" w:cs="Arial"/>
          <w:sz w:val="20"/>
          <w:szCs w:val="20"/>
        </w:rP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при осуществлении следующих видов деятельности: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заготовка продукции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продукции глубокой переработки дикоросов, заготовленной на территории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презентаций продукции из дикоросов, участие в выставках, ярмарках, форумах.</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1" w:name="Par17"/>
      <w:bookmarkEnd w:id="1"/>
      <w:r>
        <w:rPr>
          <w:rFonts w:ascii="Arial" w:hAnsi="Arial" w:cs="Arial"/>
          <w:sz w:val="20"/>
          <w:szCs w:val="20"/>
        </w:rPr>
        <w:t>1.3. Субсидии предоставляются: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Получателям, имеющим статус фактории на возведение (строительство), оснащение, страхование пунктов по приемке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Субсидию предоставляет Уполномоченный орган с целью возмещения части затрат за объемы произведенной и (или) реализованной продукции в текущем финансовом году и в декабре отчетного финансового года. Субсидия предоставляется за объемы произведенной и (или) реализованной продукции в отчетном месяце и 2 месяцах текущего финансового года, предшествующих отчетному. Субсидия за объем произведенной и (или) реализованной продукции в декабре отчетного финансового года выплачивается в период январь - февраль текущего финансового года. Субсидия за объемы произведенной и (или) реализованной продукции в иные периоды текущего финансового года, выплачивается в случае ее невыплаты из-за недостаточности бюджетных средств.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Предоставление субсидии осуществляется: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приобретение специализированной техники для транспортировки дикоросов один раз в десять лет;</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r:id="rId5" w:history="1">
        <w:r>
          <w:rPr>
            <w:rFonts w:ascii="Arial" w:hAnsi="Arial" w:cs="Arial"/>
            <w:color w:val="0000FF"/>
            <w:sz w:val="20"/>
            <w:szCs w:val="20"/>
          </w:rPr>
          <w:t>ставкам</w:t>
        </w:r>
      </w:hyperlink>
      <w:r>
        <w:rPr>
          <w:rFonts w:ascii="Arial" w:hAnsi="Arial" w:cs="Arial"/>
          <w:sz w:val="20"/>
          <w:szCs w:val="20"/>
        </w:rPr>
        <w:t xml:space="preserve"> согласно приложению 1 к настоящей государственной программе;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регистрационные сборы;</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аренда выставочных площадей;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аренда выставочного оборудования;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сертификация продукции, лабораторные исследования продукции;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проживание;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транспортные.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0"/>
          <w:sz w:val="20"/>
          <w:szCs w:val="20"/>
          <w:lang w:eastAsia="ru-RU"/>
        </w:rPr>
        <w:drawing>
          <wp:inline distT="0" distB="0" distL="0" distR="0">
            <wp:extent cx="1359535" cy="389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35" cy="389890"/>
                    </a:xfrm>
                    <a:prstGeom prst="rect">
                      <a:avLst/>
                    </a:prstGeom>
                    <a:noFill/>
                    <a:ln>
                      <a:noFill/>
                    </a:ln>
                  </pic:spPr>
                </pic:pic>
              </a:graphicData>
            </a:graphic>
          </wp:inline>
        </w:drawing>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объем субсидий в текущем финансовом году для отдельного Получателя по отдельному виду деятельности;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Ki</w:t>
      </w:r>
      <w:proofErr w:type="spellEnd"/>
      <w:r>
        <w:rPr>
          <w:rFonts w:ascii="Arial" w:hAnsi="Arial" w:cs="Arial"/>
          <w:sz w:val="20"/>
          <w:szCs w:val="20"/>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Kмо</w:t>
      </w:r>
      <w:proofErr w:type="spellEnd"/>
      <w:r>
        <w:rPr>
          <w:rFonts w:ascii="Arial" w:hAnsi="Arial" w:cs="Arial"/>
          <w:sz w:val="20"/>
          <w:szCs w:val="20"/>
        </w:rP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Vмо</w:t>
      </w:r>
      <w:proofErr w:type="spellEnd"/>
      <w:r>
        <w:rPr>
          <w:rFonts w:ascii="Arial" w:hAnsi="Arial" w:cs="Arial"/>
          <w:sz w:val="20"/>
          <w:szCs w:val="20"/>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w:t>
      </w:r>
      <w:r>
        <w:rPr>
          <w:rFonts w:ascii="Arial" w:hAnsi="Arial" w:cs="Arial"/>
          <w:sz w:val="20"/>
          <w:szCs w:val="20"/>
        </w:rPr>
        <w:lastRenderedPageBreak/>
        <w:t>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0"/>
          <w:sz w:val="20"/>
          <w:szCs w:val="20"/>
          <w:lang w:eastAsia="ru-RU"/>
        </w:rPr>
        <w:drawing>
          <wp:inline distT="0" distB="0" distL="0" distR="0">
            <wp:extent cx="1399540" cy="389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540" cy="389890"/>
                    </a:xfrm>
                    <a:prstGeom prst="rect">
                      <a:avLst/>
                    </a:prstGeom>
                    <a:noFill/>
                    <a:ln>
                      <a:noFill/>
                    </a:ln>
                  </pic:spPr>
                </pic:pic>
              </a:graphicData>
            </a:graphic>
          </wp:inline>
        </w:drawing>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Vi</w:t>
      </w:r>
      <w:proofErr w:type="spellEnd"/>
      <w:r>
        <w:rPr>
          <w:rFonts w:ascii="Arial" w:hAnsi="Arial" w:cs="Arial"/>
          <w:sz w:val="20"/>
          <w:szCs w:val="20"/>
        </w:rPr>
        <w:t xml:space="preserve">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Vis</w:t>
      </w:r>
      <w:proofErr w:type="spellEnd"/>
      <w:r>
        <w:rPr>
          <w:rFonts w:ascii="Arial" w:hAnsi="Arial" w:cs="Arial"/>
          <w:sz w:val="20"/>
          <w:szCs w:val="20"/>
        </w:rPr>
        <w:t xml:space="preserve"> - объем субсидий на поддержку отдельного вида деятельности в текущем финансовом году на основании заявления отдельного Получателя;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Vмоs</w:t>
      </w:r>
      <w:proofErr w:type="spellEnd"/>
      <w:r>
        <w:rPr>
          <w:rFonts w:ascii="Arial" w:hAnsi="Arial" w:cs="Arial"/>
          <w:sz w:val="20"/>
          <w:szCs w:val="20"/>
        </w:rPr>
        <w:t xml:space="preserve">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Vмо</w:t>
      </w:r>
      <w:proofErr w:type="spellEnd"/>
      <w:r>
        <w:rPr>
          <w:rFonts w:ascii="Arial" w:hAnsi="Arial" w:cs="Arial"/>
          <w:sz w:val="20"/>
          <w:szCs w:val="20"/>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2" w:name="Par52"/>
      <w:bookmarkEnd w:id="2"/>
      <w:r>
        <w:rPr>
          <w:rFonts w:ascii="Arial" w:hAnsi="Arial" w:cs="Arial"/>
          <w:sz w:val="20"/>
          <w:szCs w:val="20"/>
        </w:rPr>
        <w:t>1.7. Субсидии не предоставляются: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продукцию дикоросов, заготовленную за пределами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продукцию глубокой переработки дикоросов, заготовленной за пределами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холодильную технику и оборудование с мощностью хранения менее 5 тонн продукции;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3" w:name="Par59"/>
      <w:bookmarkEnd w:id="3"/>
      <w:r>
        <w:rPr>
          <w:rFonts w:ascii="Arial" w:hAnsi="Arial" w:cs="Arial"/>
          <w:sz w:val="20"/>
          <w:szCs w:val="20"/>
        </w:rPr>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включении в перечень (в произвольной форме);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сертификатов или деклараций соответствия на продукцию переработки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по необходимости,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Соглашение заключается по форме, установленной финансовым органом муниципального образования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Соглашение должно содержать следующие положения: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значения показателей результативности использования субсидии;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направления расходования субсидии;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контроля соблюдения Получателем условий Соглашения;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сроки и состав отчетности Получателя об использовании субсидии;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размера штрафных санкций;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контрольных мероприятий.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4" w:name="Par76"/>
      <w:bookmarkEnd w:id="4"/>
      <w:r>
        <w:rPr>
          <w:rFonts w:ascii="Arial" w:hAnsi="Arial" w:cs="Arial"/>
          <w:sz w:val="20"/>
          <w:szCs w:val="20"/>
        </w:rPr>
        <w:t>1.14.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ar12" w:history="1">
        <w:r>
          <w:rPr>
            <w:rFonts w:ascii="Arial" w:hAnsi="Arial" w:cs="Arial"/>
            <w:color w:val="0000FF"/>
            <w:sz w:val="20"/>
            <w:szCs w:val="20"/>
          </w:rPr>
          <w:t>пункте 1.2</w:t>
        </w:r>
      </w:hyperlink>
      <w:r>
        <w:rPr>
          <w:rFonts w:ascii="Arial" w:hAnsi="Arial" w:cs="Arial"/>
          <w:sz w:val="20"/>
          <w:szCs w:val="20"/>
        </w:rPr>
        <w:t xml:space="preserve"> Порядка.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5" w:name="Par82"/>
      <w:bookmarkEnd w:id="5"/>
      <w:r>
        <w:rPr>
          <w:rFonts w:ascii="Arial" w:hAnsi="Arial" w:cs="Arial"/>
          <w:sz w:val="20"/>
          <w:szCs w:val="20"/>
        </w:rPr>
        <w:t>1.15. Критерии отбора Получателей: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и осуществление Получателем деятельности в автономном округе;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II. Правила предоставления субсидии</w:t>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autoSpaceDE w:val="0"/>
        <w:autoSpaceDN w:val="0"/>
        <w:adjustRightInd w:val="0"/>
        <w:spacing w:after="0" w:line="240" w:lineRule="auto"/>
        <w:ind w:firstLine="540"/>
        <w:jc w:val="both"/>
        <w:rPr>
          <w:rFonts w:ascii="Arial" w:hAnsi="Arial" w:cs="Arial"/>
          <w:sz w:val="20"/>
          <w:szCs w:val="20"/>
        </w:rPr>
      </w:pPr>
      <w:bookmarkStart w:id="6" w:name="Par88"/>
      <w:bookmarkEnd w:id="6"/>
      <w:r>
        <w:rPr>
          <w:rFonts w:ascii="Arial" w:hAnsi="Arial" w:cs="Arial"/>
          <w:sz w:val="20"/>
          <w:szCs w:val="20"/>
        </w:rPr>
        <w:t>2.1. Получатели представляют до 5 рабочего дня соответствующего месяца в Уполномоченный орган:</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7" w:name="Par89"/>
      <w:bookmarkEnd w:id="7"/>
      <w:r>
        <w:rPr>
          <w:rFonts w:ascii="Arial" w:hAnsi="Arial" w:cs="Arial"/>
          <w:sz w:val="20"/>
          <w:szCs w:val="20"/>
        </w:rPr>
        <w:t>2.1.1. На заготовку продукции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субсидии (в произвольной форме);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банковского счета Получателя;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справку-расчет субсидий на заготовку и (или) переработку дикоросов по форме, утвержденной Департаментом;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договоров купли-продажи, договоров поставки продукции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товарных накладных унифицированной формы ТОРГ-12;</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платежных документов, предусмотренных действующим законодательством.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На производство продукции глубокой переработки дикоросов, заготовленной на территории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субсидии (в произвольной форме);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банковского счета Получателя;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справку-расчет субсидий на заготовку и (или) переработку дикоросов по форме, утвержденной Департаментом;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декларации о соответствии (или сертификата соответствия) на продукцию по глубокой переработке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оплату поставщикам продукции дикоросов, предусмотренных действующим законодательством: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На возведение (строительство), оснащение, страхование пунктов по приемке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выполнении работ подрядным способом: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субсидии (в произвольной форме);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банковского счета Получателя;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договоров на выполнение проектно-изыскательских работ, строительно-монтажных работ, поставку оборудования, страхования;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проектно-сметной документации;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актов о приемке выполненных работ (форма КС-2);</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справок о стоимости выполненных работ и затрат (форма КС-3);</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предусмотренных действующим законодательством, подтверждающих оплату выполненных работ, поставленного оборудования;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выполнении работ собственными силами: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субсидии (в произвольной форме);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банковского счета Получателя;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На приобретение специализированной техники и оборудования для хранения, переработки и транспортировки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субсидии (в произвольной форме);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банковского счета Получателя;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паспорта транспортного средства с отметкой о государственной регистрации (в случае приобретения).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Pr>
          <w:rFonts w:ascii="Arial" w:hAnsi="Arial" w:cs="Arial"/>
          <w:sz w:val="20"/>
          <w:szCs w:val="20"/>
        </w:rPr>
        <w:t>2.1.5. На организацию презентаций продукции из дикоросов, участие в выставках, ярмарках, форумах:</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субсидии (в произвольной форме);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реквизиты банковского счета Получателя;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9" w:name="Par132"/>
      <w:bookmarkEnd w:id="9"/>
      <w:r>
        <w:rPr>
          <w:rFonts w:ascii="Arial" w:hAnsi="Arial" w:cs="Arial"/>
          <w:sz w:val="20"/>
          <w:szCs w:val="20"/>
        </w:rP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ar12" w:history="1">
        <w:r>
          <w:rPr>
            <w:rFonts w:ascii="Arial" w:hAnsi="Arial" w:cs="Arial"/>
            <w:color w:val="0000FF"/>
            <w:sz w:val="20"/>
            <w:szCs w:val="20"/>
          </w:rPr>
          <w:t>пункте 1.2</w:t>
        </w:r>
      </w:hyperlink>
      <w:r>
        <w:rPr>
          <w:rFonts w:ascii="Arial" w:hAnsi="Arial" w:cs="Arial"/>
          <w:sz w:val="20"/>
          <w:szCs w:val="20"/>
        </w:rPr>
        <w:t xml:space="preserve"> Порядка;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юридических лиц или Единого государственного реестра индивидуальных предпринимателей;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договоров аренды лесных участков, заключенных в целях заготовки пищевых лесных ресурсов и сбора лекарственных растений;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выписки из реестра факторий;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вводе объекта в эксплуатацию.</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документы могут быть представлены Получателем самостоятельно в день подачи заявления о предоставлении субсидии.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Требовать от Получателя представления документов (копий документов), не предусмотренных Порядком, не допускается.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Документы (копии документов), предусмотренные в </w:t>
      </w:r>
      <w:hyperlink w:anchor="Par59" w:history="1">
        <w:r>
          <w:rPr>
            <w:rFonts w:ascii="Arial" w:hAnsi="Arial" w:cs="Arial"/>
            <w:color w:val="0000FF"/>
            <w:sz w:val="20"/>
            <w:szCs w:val="20"/>
          </w:rPr>
          <w:t>пунктах 1.8</w:t>
        </w:r>
      </w:hyperlink>
      <w:r>
        <w:rPr>
          <w:rFonts w:ascii="Arial" w:hAnsi="Arial" w:cs="Arial"/>
          <w:sz w:val="20"/>
          <w:szCs w:val="20"/>
        </w:rPr>
        <w:t xml:space="preserve">, </w:t>
      </w:r>
      <w:hyperlink w:anchor="Par88" w:history="1">
        <w:r>
          <w:rPr>
            <w:rFonts w:ascii="Arial" w:hAnsi="Arial" w:cs="Arial"/>
            <w:color w:val="0000FF"/>
            <w:sz w:val="20"/>
            <w:szCs w:val="20"/>
          </w:rPr>
          <w:t>2.1</w:t>
        </w:r>
      </w:hyperlink>
      <w:r>
        <w:rPr>
          <w:rFonts w:ascii="Arial" w:hAnsi="Arial" w:cs="Arial"/>
          <w:sz w:val="20"/>
          <w:szCs w:val="20"/>
        </w:rPr>
        <w:t xml:space="preserve"> Порядка, представляются в Уполномоченный орган одним из следующих способов: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Уполномоченный орган в течение 5 рабочих дней со дня получения документов, указанных в </w:t>
      </w:r>
      <w:hyperlink w:anchor="Par89" w:history="1">
        <w:r>
          <w:rPr>
            <w:rFonts w:ascii="Arial" w:hAnsi="Arial" w:cs="Arial"/>
            <w:color w:val="0000FF"/>
            <w:sz w:val="20"/>
            <w:szCs w:val="20"/>
          </w:rPr>
          <w:t>подпунктах 2.1.1</w:t>
        </w:r>
      </w:hyperlink>
      <w:r>
        <w:rPr>
          <w:rFonts w:ascii="Arial" w:hAnsi="Arial" w:cs="Arial"/>
          <w:sz w:val="20"/>
          <w:szCs w:val="20"/>
        </w:rPr>
        <w:t xml:space="preserve"> - </w:t>
      </w:r>
      <w:hyperlink w:anchor="Par128" w:history="1">
        <w:r>
          <w:rPr>
            <w:rFonts w:ascii="Arial" w:hAnsi="Arial" w:cs="Arial"/>
            <w:color w:val="0000FF"/>
            <w:sz w:val="20"/>
            <w:szCs w:val="20"/>
          </w:rPr>
          <w:t>2.1.5 пункта 2.1</w:t>
        </w:r>
      </w:hyperlink>
      <w:r>
        <w:rPr>
          <w:rFonts w:ascii="Arial" w:hAnsi="Arial" w:cs="Arial"/>
          <w:sz w:val="20"/>
          <w:szCs w:val="20"/>
        </w:rP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ar89" w:history="1">
        <w:r>
          <w:rPr>
            <w:rFonts w:ascii="Arial" w:hAnsi="Arial" w:cs="Arial"/>
            <w:color w:val="0000FF"/>
            <w:sz w:val="20"/>
            <w:szCs w:val="20"/>
          </w:rPr>
          <w:t>подпунктах 2.1.1</w:t>
        </w:r>
      </w:hyperlink>
      <w:r>
        <w:rPr>
          <w:rFonts w:ascii="Arial" w:hAnsi="Arial" w:cs="Arial"/>
          <w:sz w:val="20"/>
          <w:szCs w:val="20"/>
        </w:rPr>
        <w:t xml:space="preserve"> - </w:t>
      </w:r>
      <w:hyperlink w:anchor="Par128" w:history="1">
        <w:r>
          <w:rPr>
            <w:rFonts w:ascii="Arial" w:hAnsi="Arial" w:cs="Arial"/>
            <w:color w:val="0000FF"/>
            <w:sz w:val="20"/>
            <w:szCs w:val="20"/>
          </w:rPr>
          <w:t>2.1.5 пункта 2.1</w:t>
        </w:r>
      </w:hyperlink>
      <w:r>
        <w:rPr>
          <w:rFonts w:ascii="Arial" w:hAnsi="Arial" w:cs="Arial"/>
          <w:sz w:val="20"/>
          <w:szCs w:val="20"/>
        </w:rPr>
        <w:t xml:space="preserve">, </w:t>
      </w:r>
      <w:hyperlink w:anchor="Par132" w:history="1">
        <w:r>
          <w:rPr>
            <w:rFonts w:ascii="Arial" w:hAnsi="Arial" w:cs="Arial"/>
            <w:color w:val="0000FF"/>
            <w:sz w:val="20"/>
            <w:szCs w:val="20"/>
          </w:rPr>
          <w:t>пункте 2.2</w:t>
        </w:r>
      </w:hyperlink>
      <w:r>
        <w:rPr>
          <w:rFonts w:ascii="Arial" w:hAnsi="Arial" w:cs="Arial"/>
          <w:sz w:val="20"/>
          <w:szCs w:val="20"/>
        </w:rPr>
        <w:t xml:space="preserve"> Порядка. Решение оформляется протоколом заседания комиссии.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Уполномоченный орган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в представленных Получателем документов, осуществляется Уполномоченным органом в период осуществления их проверки на предмет достоверности, а также в ходе рассмотрения комиссией.</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10" w:name="Par149"/>
      <w:bookmarkEnd w:id="10"/>
      <w:r>
        <w:rPr>
          <w:rFonts w:ascii="Arial" w:hAnsi="Arial" w:cs="Arial"/>
          <w:sz w:val="20"/>
          <w:szCs w:val="20"/>
        </w:rP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направляется (вручается) Получателю одним из следующих способов:</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почтовым отправлением;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форме электронного документа, подписанного усиленной электронной цифровой подписью, посредством электронной почты;</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вручается лично при обращении в Уполномоченный орган.</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bookmarkStart w:id="11" w:name="Par156"/>
      <w:bookmarkEnd w:id="11"/>
      <w:r>
        <w:rPr>
          <w:rFonts w:ascii="Arial" w:hAnsi="Arial" w:cs="Arial"/>
          <w:sz w:val="20"/>
          <w:szCs w:val="20"/>
        </w:rPr>
        <w:t>2.8. Основаниями для отказа в предоставлении субсидии являются: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лимитов, предусмотренных для предоставления субсидий в бюджете автономного округа;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срока предоставления документов, установленных </w:t>
      </w:r>
      <w:hyperlink w:anchor="Par89" w:history="1">
        <w:r>
          <w:rPr>
            <w:rFonts w:ascii="Arial" w:hAnsi="Arial" w:cs="Arial"/>
            <w:color w:val="0000FF"/>
            <w:sz w:val="20"/>
            <w:szCs w:val="20"/>
          </w:rPr>
          <w:t>подпунктами 2.1.1</w:t>
        </w:r>
      </w:hyperlink>
      <w:r>
        <w:rPr>
          <w:rFonts w:ascii="Arial" w:hAnsi="Arial" w:cs="Arial"/>
          <w:sz w:val="20"/>
          <w:szCs w:val="20"/>
        </w:rPr>
        <w:t xml:space="preserve"> - </w:t>
      </w:r>
      <w:hyperlink w:anchor="Par128" w:history="1">
        <w:r>
          <w:rPr>
            <w:rFonts w:ascii="Arial" w:hAnsi="Arial" w:cs="Arial"/>
            <w:color w:val="0000FF"/>
            <w:sz w:val="20"/>
            <w:szCs w:val="20"/>
          </w:rPr>
          <w:t>2.1.5 пункта 2.1</w:t>
        </w:r>
      </w:hyperlink>
      <w:r>
        <w:rPr>
          <w:rFonts w:ascii="Arial" w:hAnsi="Arial" w:cs="Arial"/>
          <w:sz w:val="20"/>
          <w:szCs w:val="20"/>
        </w:rPr>
        <w:t xml:space="preserve">, </w:t>
      </w:r>
      <w:hyperlink w:anchor="Par149" w:history="1">
        <w:r>
          <w:rPr>
            <w:rFonts w:ascii="Arial" w:hAnsi="Arial" w:cs="Arial"/>
            <w:color w:val="0000FF"/>
            <w:sz w:val="20"/>
            <w:szCs w:val="20"/>
          </w:rPr>
          <w:t>пунктом 2.6</w:t>
        </w:r>
      </w:hyperlink>
      <w:r>
        <w:rPr>
          <w:rFonts w:ascii="Arial" w:hAnsi="Arial" w:cs="Arial"/>
          <w:sz w:val="20"/>
          <w:szCs w:val="20"/>
        </w:rPr>
        <w:t xml:space="preserve"> Порядка;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Получателем документов, указанных в </w:t>
      </w:r>
      <w:hyperlink w:anchor="Par89" w:history="1">
        <w:r>
          <w:rPr>
            <w:rFonts w:ascii="Arial" w:hAnsi="Arial" w:cs="Arial"/>
            <w:color w:val="0000FF"/>
            <w:sz w:val="20"/>
            <w:szCs w:val="20"/>
          </w:rPr>
          <w:t>подпунктах 2.1.1</w:t>
        </w:r>
      </w:hyperlink>
      <w:r>
        <w:rPr>
          <w:rFonts w:ascii="Arial" w:hAnsi="Arial" w:cs="Arial"/>
          <w:sz w:val="20"/>
          <w:szCs w:val="20"/>
        </w:rPr>
        <w:t xml:space="preserve"> - </w:t>
      </w:r>
      <w:hyperlink w:anchor="Par128" w:history="1">
        <w:r>
          <w:rPr>
            <w:rFonts w:ascii="Arial" w:hAnsi="Arial" w:cs="Arial"/>
            <w:color w:val="0000FF"/>
            <w:sz w:val="20"/>
            <w:szCs w:val="20"/>
          </w:rPr>
          <w:t>2.1.5 пункта 2.1</w:t>
        </w:r>
      </w:hyperlink>
      <w:r>
        <w:rPr>
          <w:rFonts w:ascii="Arial" w:hAnsi="Arial" w:cs="Arial"/>
          <w:sz w:val="20"/>
          <w:szCs w:val="20"/>
        </w:rPr>
        <w:t xml:space="preserve">, </w:t>
      </w:r>
      <w:hyperlink w:anchor="Par149" w:history="1">
        <w:r>
          <w:rPr>
            <w:rFonts w:ascii="Arial" w:hAnsi="Arial" w:cs="Arial"/>
            <w:color w:val="0000FF"/>
            <w:sz w:val="20"/>
            <w:szCs w:val="20"/>
          </w:rPr>
          <w:t>пункте 2.6</w:t>
        </w:r>
      </w:hyperlink>
      <w:r>
        <w:rPr>
          <w:rFonts w:ascii="Arial" w:hAnsi="Arial" w:cs="Arial"/>
          <w:sz w:val="20"/>
          <w:szCs w:val="20"/>
        </w:rPr>
        <w:t xml:space="preserve"> Порядка;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документов с нарушением требований к их оформлению;</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выявление в представленных документах сведений, не соответствующих действительности;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Получателя требованиям, установленным </w:t>
      </w:r>
      <w:hyperlink w:anchor="Par17" w:history="1">
        <w:r>
          <w:rPr>
            <w:rFonts w:ascii="Arial" w:hAnsi="Arial" w:cs="Arial"/>
            <w:color w:val="0000FF"/>
            <w:sz w:val="20"/>
            <w:szCs w:val="20"/>
          </w:rPr>
          <w:t>пунктами 1.3</w:t>
        </w:r>
      </w:hyperlink>
      <w:r>
        <w:rPr>
          <w:rFonts w:ascii="Arial" w:hAnsi="Arial" w:cs="Arial"/>
          <w:sz w:val="20"/>
          <w:szCs w:val="20"/>
        </w:rPr>
        <w:t xml:space="preserve">, </w:t>
      </w:r>
      <w:hyperlink w:anchor="Par76" w:history="1">
        <w:r>
          <w:rPr>
            <w:rFonts w:ascii="Arial" w:hAnsi="Arial" w:cs="Arial"/>
            <w:color w:val="0000FF"/>
            <w:sz w:val="20"/>
            <w:szCs w:val="20"/>
          </w:rPr>
          <w:t>1.14</w:t>
        </w:r>
      </w:hyperlink>
      <w:r>
        <w:rPr>
          <w:rFonts w:ascii="Arial" w:hAnsi="Arial" w:cs="Arial"/>
          <w:sz w:val="20"/>
          <w:szCs w:val="20"/>
        </w:rPr>
        <w:t xml:space="preserve">, </w:t>
      </w:r>
      <w:hyperlink w:anchor="Par82" w:history="1">
        <w:r>
          <w:rPr>
            <w:rFonts w:ascii="Arial" w:hAnsi="Arial" w:cs="Arial"/>
            <w:color w:val="0000FF"/>
            <w:sz w:val="20"/>
            <w:szCs w:val="20"/>
          </w:rPr>
          <w:t>1.15</w:t>
        </w:r>
      </w:hyperlink>
      <w:r>
        <w:rPr>
          <w:rFonts w:ascii="Arial" w:hAnsi="Arial" w:cs="Arial"/>
          <w:sz w:val="20"/>
          <w:szCs w:val="20"/>
        </w:rPr>
        <w:t xml:space="preserve"> Порядка;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Получателем объемов и видов реализованной продукции, указанных в </w:t>
      </w:r>
      <w:hyperlink w:anchor="Par52" w:history="1">
        <w:r>
          <w:rPr>
            <w:rFonts w:ascii="Arial" w:hAnsi="Arial" w:cs="Arial"/>
            <w:color w:val="0000FF"/>
            <w:sz w:val="20"/>
            <w:szCs w:val="20"/>
          </w:rPr>
          <w:t>пункте 1.7</w:t>
        </w:r>
      </w:hyperlink>
      <w:r>
        <w:rPr>
          <w:rFonts w:ascii="Arial" w:hAnsi="Arial" w:cs="Arial"/>
          <w:sz w:val="20"/>
          <w:szCs w:val="20"/>
        </w:rPr>
        <w:t xml:space="preserve"> Порядка.</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В случае отсутствия оснований, предусмотренных в </w:t>
      </w:r>
      <w:r>
        <w:rPr>
          <w:rFonts w:ascii="Arial" w:hAnsi="Arial" w:cs="Arial"/>
          <w:sz w:val="20"/>
          <w:szCs w:val="20"/>
        </w:rPr>
        <w:fldChar w:fldCharType="begin"/>
      </w:r>
      <w:r>
        <w:rPr>
          <w:rFonts w:ascii="Arial" w:hAnsi="Arial" w:cs="Arial"/>
          <w:sz w:val="20"/>
          <w:szCs w:val="20"/>
        </w:rPr>
        <w:instrText xml:space="preserve">HYPERLINK \l Par156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2.8</w:t>
      </w:r>
      <w:r>
        <w:rPr>
          <w:rFonts w:ascii="Arial" w:hAnsi="Arial" w:cs="Arial"/>
          <w:sz w:val="20"/>
          <w:szCs w:val="20"/>
        </w:rPr>
        <w:fldChar w:fldCharType="end"/>
      </w:r>
      <w:r>
        <w:rPr>
          <w:rFonts w:ascii="Arial" w:hAnsi="Arial" w:cs="Arial"/>
          <w:sz w:val="20"/>
          <w:szCs w:val="20"/>
        </w:rP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Правила возврата субсидии в случае нарушения условий,</w:t>
      </w:r>
    </w:p>
    <w:p w:rsidR="00DA47EA" w:rsidRDefault="00DA47EA" w:rsidP="00DA47E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установленных при ее предоставлении</w:t>
      </w:r>
    </w:p>
    <w:p w:rsidR="00DA47EA" w:rsidRDefault="00DA47EA" w:rsidP="00DA47EA">
      <w:pPr>
        <w:autoSpaceDE w:val="0"/>
        <w:autoSpaceDN w:val="0"/>
        <w:adjustRightInd w:val="0"/>
        <w:spacing w:after="0" w:line="240" w:lineRule="auto"/>
        <w:jc w:val="both"/>
        <w:rPr>
          <w:rFonts w:ascii="Arial" w:hAnsi="Arial" w:cs="Arial"/>
          <w:sz w:val="20"/>
          <w:szCs w:val="20"/>
        </w:rPr>
      </w:pPr>
    </w:p>
    <w:p w:rsidR="00DA47EA" w:rsidRDefault="00DA47EA" w:rsidP="00DA4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случае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Уполномоченный орган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Получатель в течение 30 рабочих дней со дня получения уведомления обязан выполнить требования, указанные в нем.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выявления факта </w:t>
      </w:r>
      <w:proofErr w:type="spellStart"/>
      <w:r>
        <w:rPr>
          <w:rFonts w:ascii="Arial" w:hAnsi="Arial" w:cs="Arial"/>
          <w:sz w:val="20"/>
          <w:szCs w:val="20"/>
        </w:rPr>
        <w:t>недостижения</w:t>
      </w:r>
      <w:proofErr w:type="spellEnd"/>
      <w:r>
        <w:rPr>
          <w:rFonts w:ascii="Arial" w:hAnsi="Arial" w:cs="Arial"/>
          <w:sz w:val="20"/>
          <w:szCs w:val="20"/>
        </w:rPr>
        <w:t xml:space="preserve"> показателей результативности использования субсидии, установленных Соглашением: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суммы штрафа осуществляется по форме, установленной Соглашением.</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 При неоплате Получателем начисленного штрафа в установленный требованием </w:t>
      </w:r>
      <w:proofErr w:type="gramStart"/>
      <w:r>
        <w:rPr>
          <w:rFonts w:ascii="Arial" w:hAnsi="Arial" w:cs="Arial"/>
          <w:sz w:val="20"/>
          <w:szCs w:val="20"/>
        </w:rPr>
        <w:t>срок</w:t>
      </w:r>
      <w:proofErr w:type="gramEnd"/>
      <w:r>
        <w:rPr>
          <w:rFonts w:ascii="Arial" w:hAnsi="Arial" w:cs="Arial"/>
          <w:sz w:val="20"/>
          <w:szCs w:val="20"/>
        </w:rPr>
        <w:t xml:space="preserve"> Уполномоченный орган обращается в суд в соответствии с законодательством Российской Федерации.</w:t>
      </w:r>
    </w:p>
    <w:p w:rsidR="00DA47EA" w:rsidRDefault="00DA47EA" w:rsidP="00DA4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Ответственность за достоверность фактических показателей, сведений в представленных документах несет Получатель.</w:t>
      </w:r>
    </w:p>
    <w:p w:rsidR="00DA47EA" w:rsidRDefault="00DA47EA" w:rsidP="00DA47EA">
      <w:pPr>
        <w:autoSpaceDE w:val="0"/>
        <w:autoSpaceDN w:val="0"/>
        <w:adjustRightInd w:val="0"/>
        <w:spacing w:after="0" w:line="240" w:lineRule="auto"/>
        <w:jc w:val="both"/>
        <w:rPr>
          <w:rFonts w:ascii="Arial" w:hAnsi="Arial" w:cs="Arial"/>
          <w:sz w:val="20"/>
          <w:szCs w:val="20"/>
        </w:rPr>
      </w:pPr>
    </w:p>
    <w:p w:rsidR="00DC4266" w:rsidRDefault="00DA47EA">
      <w:bookmarkStart w:id="12" w:name="_GoBack"/>
      <w:bookmarkEnd w:id="12"/>
    </w:p>
    <w:sectPr w:rsidR="00DC4266" w:rsidSect="00DE258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EA"/>
    <w:rsid w:val="004468D4"/>
    <w:rsid w:val="0082183E"/>
    <w:rsid w:val="00DA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ED5D7-D357-470A-9EEE-89A8A90D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9E9505F69BF81E5FA836D7FC1F1242DF8E13DD502DB2F691EBF83F7F8630F4F93FD7E9E567F795E43981B2Bh8F0F" TargetMode="Externa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consultantplus://offline/ref=3C39E9505F69BF81E5FA9D6069ADA62B28F3BC36D102D07C3D4EB9D4A8A8655A1DD3A327DD106C795C5C931B2989551C2301B833BB2BC25A4BCA6794hCF6F" TargetMode="External"/><Relationship Id="rId10" Type="http://schemas.openxmlformats.org/officeDocument/2006/relationships/fontTable" Target="fontTable.xml"/><Relationship Id="rId4" Type="http://schemas.openxmlformats.org/officeDocument/2006/relationships/hyperlink" Target="consultantplus://offline/ref=3C39E9505F69BF81E5FA9D6069ADA62B28F3BC36D102D07C3D4EB9D4A8A8655A1DD3A327DD106C795C5D92132C89551C2301B833BB2BC25A4BCA6794hCF6F" TargetMode="External"/><Relationship Id="rId9" Type="http://schemas.openxmlformats.org/officeDocument/2006/relationships/hyperlink" Target="consultantplus://offline/ref=3C39E9505F69BF81E5FA836D7FC1F1242DF8E13DD502DB2F691EBF83F7F8630F4F93FD7E9E567F795E43981B2Bh8F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4431</Words>
  <Characters>25260</Characters>
  <Application>Microsoft Office Word</Application>
  <DocSecurity>0</DocSecurity>
  <Lines>210</Lines>
  <Paragraphs>59</Paragraphs>
  <ScaleCrop>false</ScaleCrop>
  <Company>diakov.net</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2</cp:revision>
  <dcterms:created xsi:type="dcterms:W3CDTF">2022-12-02T05:05:00Z</dcterms:created>
  <dcterms:modified xsi:type="dcterms:W3CDTF">2022-12-02T05:06:00Z</dcterms:modified>
</cp:coreProperties>
</file>