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rPr>
          <w:sz w:val="16"/>
          <w:szCs w:val="16"/>
        </w:rPr>
      </w:pPr>
      <w:bookmarkStart w:id="0" w:name="_GoBack"/>
      <w:bookmarkEnd w:id="0"/>
    </w:p>
    <w:p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Приложение № 1 </w:t>
      </w:r>
    </w:p>
    <w:p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письму  _____-Исх-______ от «____» _________ 2022 г.</w:t>
      </w:r>
    </w:p>
    <w:p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повышения квалификации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«Правовые аспекты креативного предпринимательства»</w:t>
      </w:r>
    </w:p>
    <w:p>
      <w:pPr>
        <w:jc w:val="center"/>
        <w:rPr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реализации программы - </w:t>
      </w:r>
      <w:r>
        <w:rPr>
          <w:color w:val="000000"/>
          <w:sz w:val="24"/>
          <w:szCs w:val="24"/>
        </w:rPr>
        <w:t>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квалификации.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 xml:space="preserve">Категории слушателей </w:t>
      </w:r>
      <w:r>
        <w:rPr>
          <w:color w:val="000000"/>
          <w:sz w:val="24"/>
          <w:szCs w:val="24"/>
        </w:rPr>
        <w:t>– руководители и работники субъектов малого и среднего предпринимательства, имеющие среднее профессиональное и (или) высшее образование, осуществляющие свою деятельность не менее 1 (одного) года на момент начала обучения.</w:t>
      </w:r>
    </w:p>
    <w:p>
      <w:pPr>
        <w:jc w:val="both"/>
        <w:rPr>
          <w:color w:val="000000"/>
          <w:sz w:val="24"/>
          <w:szCs w:val="24"/>
        </w:rPr>
      </w:pPr>
    </w:p>
    <w:p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Количество часов </w:t>
      </w:r>
      <w:r>
        <w:rPr>
          <w:color w:val="000000"/>
          <w:sz w:val="24"/>
          <w:szCs w:val="24"/>
        </w:rPr>
        <w:t>– 25 академических часов.</w:t>
      </w:r>
      <w:r>
        <w:rPr>
          <w:color w:val="000000"/>
          <w:sz w:val="24"/>
          <w:szCs w:val="24"/>
        </w:rPr>
        <w:br w:type="textWrapping"/>
      </w:r>
    </w:p>
    <w:p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Максимальное количество участников </w:t>
      </w:r>
      <w:r>
        <w:rPr>
          <w:color w:val="000000"/>
          <w:sz w:val="24"/>
          <w:szCs w:val="24"/>
        </w:rPr>
        <w:t>– до 100 человек.</w:t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 xml:space="preserve">Форма обучения </w:t>
      </w:r>
      <w:r>
        <w:rPr>
          <w:color w:val="000000"/>
          <w:sz w:val="24"/>
          <w:szCs w:val="24"/>
        </w:rPr>
        <w:t>– очная, с применением дистанционных образовательных технологий.</w:t>
      </w:r>
    </w:p>
    <w:p>
      <w:pPr>
        <w:jc w:val="both"/>
        <w:rPr>
          <w:b/>
          <w:bCs/>
          <w:sz w:val="24"/>
          <w:szCs w:val="24"/>
          <w:lang w:eastAsia="en-US"/>
        </w:rPr>
      </w:pPr>
    </w:p>
    <w:p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Содержание:</w:t>
      </w:r>
    </w:p>
    <w:p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1. Вводная лекция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(Очное занятие, 2 часа)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Право креативных индустрий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(Онлайн, 2 часа)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Федеральное законодательство в сфере культуры, искусства, информации и предпринимательства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 Региональные нормативные акты в области творческих индустрий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 Зоны саморегулирования, частные и общественные инициативы по развитию креативного бизнеса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Объекты правоотношений в сфере креативных индустрий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(Онлайн, 4 часа)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интеллектуальной деятельности: объекты авторского права и смежных прав, объекты патентования (изобретения, полезные модели и промышленные образцы)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Средства индивидуализации: товарные знаки, фирменные наименования, коммерческие обозначения, НМПТ, ГУ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Иные объекты: ноу-хау, коммерческая тайна, информация, доменные имена, культурные ценности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Приобретение и распоряжение интеллектуальными правами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(Онлайн, 4 часа)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Обладатели интеллектуальных прав: авторы, правообладатели, патентообладатели, наследники, правопреемники, работодатели, заказчики, инвесторы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Иные субъекты: патентные поверенные, агенты, авторские общества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Договорные отношения в сфере интеллектуальной собственности: система договоров в сфере интеллектуальной деятельности и иные сделки с исключительными правами (залог, внесение в уставный капитал)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Исключения из интеллектуальных прав. Общественное достояние. Свободные и открытые лицензии.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Результаты интеллектуальной деятельности как нематериальные активы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(Онлайн, 4 часа)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Виды нематериальных активов и их место в структуре активов хозяйствующего субъекта креативного предпринимательства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Оценка нематериальных активов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Учет нематериальных активов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IP - комплаенс для выхода на экспорт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Современные технологические инструменты в области правовой охраны и защиты интеллектуальной собственности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(Онлайн, 2 часа)</w:t>
      </w:r>
    </w:p>
    <w:p>
      <w:pPr>
        <w:jc w:val="both"/>
        <w:rPr>
          <w:b/>
          <w:bCs/>
        </w:rPr>
      </w:pPr>
    </w:p>
    <w:p>
      <w:pPr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Новые способы учета и распоряжения правами: технические решения и правовые возможности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Цифровой учет креативных продуктов в российской практике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Стратегии управления нематериальными активами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(Онлайн, 2 часа)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Перспективы кредитования под залог интеллектуальной собственности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Законодательные инициативы по налогообложению  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Современные технологические решения в сфере креативных индустрий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(Очное занятие, 4 часа)</w:t>
      </w:r>
    </w:p>
    <w:p>
      <w:pPr>
        <w:pStyle w:val="22"/>
        <w:spacing w:line="259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Новые способы учета и распоряжения правами на произведения, технические решения и правовые возможности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Практическое занятие: освоение навигации в сервисах экосистемы IPChain; создание личного кабинета; депонирование охраняемых объектов в Национальном реестре интеллектуальной собственности N’RIS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Итоговая аттестация – тестирование</w:t>
      </w:r>
      <w:r>
        <w:t xml:space="preserve">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(Очное занятие, 4 часа)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bCs/>
          <w:sz w:val="24"/>
          <w:szCs w:val="24"/>
          <w:lang w:eastAsia="en-US"/>
        </w:rPr>
      </w:pPr>
    </w:p>
    <w:p>
      <w:pPr>
        <w:tabs>
          <w:tab w:val="left" w:pos="190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Для участия в мероприятии нужна обязательная регистрация на сайте бизнесюгры.рф в разделе «Мероприятия»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письму _____-Исх-______ от «____» _________ 2022 г.</w:t>
      </w:r>
    </w:p>
    <w:p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обучающего курса «Акселератор креативных индустрий»</w:t>
      </w: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программы:</w:t>
      </w:r>
      <w:r>
        <w:rPr>
          <w:color w:val="000000"/>
          <w:sz w:val="24"/>
          <w:szCs w:val="24"/>
        </w:rPr>
        <w:t xml:space="preserve"> разработка и улучшение проектов в области креативных индустрий.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Результаты программы: 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после обучения сможет: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разработать проект креативного бизнеса;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внедрить рабочие инструменты по улучшению своего креативного бизнеса;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выстраивать бизнес-модель креативного бизнеса;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презентовать свой креативный бизнес.</w:t>
      </w:r>
    </w:p>
    <w:p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Целевая аудитория: 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действующие предприниматели в области креативных индустрий;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творческая молодежь и студенты;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представители некоммерческих организаций;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ремесленники, мастера;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- представителей творческих объединений.</w:t>
      </w:r>
    </w:p>
    <w:p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Количество часов </w:t>
      </w:r>
      <w:r>
        <w:rPr>
          <w:color w:val="000000"/>
          <w:sz w:val="24"/>
          <w:szCs w:val="24"/>
        </w:rPr>
        <w:t>– 70 академических часов.</w:t>
      </w:r>
      <w:r>
        <w:rPr>
          <w:color w:val="000000"/>
        </w:rPr>
        <w:br w:type="textWrapping"/>
      </w:r>
      <w:r>
        <w:rPr>
          <w:b/>
          <w:bCs/>
          <w:color w:val="000000"/>
          <w:sz w:val="24"/>
          <w:szCs w:val="24"/>
        </w:rPr>
        <w:t xml:space="preserve">Максимальное количество участников </w:t>
      </w:r>
      <w:r>
        <w:rPr>
          <w:color w:val="000000"/>
          <w:sz w:val="24"/>
          <w:szCs w:val="24"/>
        </w:rPr>
        <w:t>– до 100 человек.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Содержание: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Теория (Вебинары и очные занятие)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Трек-встречи по тематическим направлениям: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Образование. Образовательные проекты, направленные на повышение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знаний и умений в области творчества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Народно-художественные промыслы. Проекты, связанные 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народно-художественными промыслами и ремеслами, дизайном, модой.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Цифровые технологии в креативных индустриях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Гастро. Проекты в области гастрономии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Демо День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Креативные индустрии: отрасли, принципы, экономика (Очное занятие, 8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часов)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Что такое креативные индустрии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Принцип отнесения отраслей к креативным индустриям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Роль креативных индустрий в политике и экономике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Перспективные сферы креативной индустрии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Креативная экономика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Финансовые инструменты для креативных предпринимателей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Специфика управления предприятиями креативных индустрий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Программы поддержки креативных предпринимателей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Дизайн-мышление: создание креативного продукта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Знакомство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Постановка целей и задач на Акселератор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Вебинар «Финансовая модель креативного бизнеса». Часть 1 (Онлайн, 3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Монетизация творчества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Креативная экономика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Бизнес-модель для креативных индустрий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Целевая аудитория проектов креативных индустрий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Анализ рынка и конкурентов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Вопросы и ответы по теме «Финансовая модель креативного бизнеса»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 Вебинар «Финансовая модель креативного бизнеса». Часть 2 (Онлайн, 3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Точка безубыточности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Операционный анализ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Бюджеты и количественные метрики проекта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Оценка потребности и срока окупаемости инвестиций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Управление доходностью при сохранении финансовой устойчивости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Обоснование выбора источника финансирования.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Вопросы и ответы по теме «Финансовая модель креативного бизнеса»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Вопросы и ответы по теме «Финансовая модель креативного бизнеса»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 Вебинар «Маркетинг проектов креативных индустрий» (Онлайн, 3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Маркетинговая стратегия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Каналы продвижения и продаж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Личный бренд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Вопросы и ответы по теме «Маркетинг проектов креативных индустрий»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11. Вебинар «Команда креативного проекта» (Онлайн, 3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Как вовлекать людей в команду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Основы делегирования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12. Трек-встречи по 4 тематическим направлениям (Онлайн, 2 часа)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Вопросы и ответы по теме «Команда креативного проекта»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13. Вебинар «Законодательные основы креативного бизнеса»(Онлайн, 3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Интеллектуальная собственность в креативном бизнесе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Защита интеллектуальной собственности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Товарные знаки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Риски деятельности: налоговые, юридические и иные.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14. Вебинар «Грантовая поддержка креативных проектов» (Онлайн, 3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Возможности финансирования креативных проектов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Основы грантрайтинга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Вопросы и ответы по теме «Грантовая поддержка креативных проектов»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16. Вебинар «Идеальный питч. Как подготовить презентацию, которая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покорит инвестора?» (Онлайн, 3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Как донести свою бизнес-идею до любой аудитории, используя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эмоциональный характер вашей личности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Подготовка к презентации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18. Трек-встречи по 4 тематическим направлениям (Онлайн, 2 часа)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Подготовка к презентации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Отбор проектов для участия в Демо Дне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19. Подготовка к презентации (Очное занятие, 8 часов)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Подготовка к презентации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Обратная связь от спикера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20. Демо день (Очное занятие, 8 часов)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Презентация проектов участников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Обратная связь от экспертов и инвесторов</w:t>
      </w:r>
    </w:p>
    <w:p>
      <w:pPr>
        <w:jc w:val="both"/>
        <w:rPr>
          <w:b/>
          <w:bCs/>
          <w:sz w:val="22"/>
          <w:szCs w:val="22"/>
          <w:lang w:eastAsia="en-US"/>
        </w:rPr>
      </w:pPr>
    </w:p>
    <w:p>
      <w:pPr>
        <w:jc w:val="both"/>
        <w:rPr>
          <w:b/>
          <w:bCs/>
          <w:sz w:val="22"/>
          <w:szCs w:val="22"/>
          <w:lang w:eastAsia="en-US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 xml:space="preserve">Для участия в мероприятии нужна обязательная регистрация на сайте бизнесюгры.рф в разделе «Мероприятия», либо по ссылке </w:t>
      </w:r>
      <w:r>
        <w:fldChar w:fldCharType="begin"/>
      </w:r>
      <w:r>
        <w:instrText xml:space="preserve"> HYPERLINK "https://learn.dasreda.ru/akseleratorki" </w:instrText>
      </w:r>
      <w:r>
        <w:fldChar w:fldCharType="separate"/>
      </w:r>
      <w:r>
        <w:rPr>
          <w:rStyle w:val="6"/>
          <w:b/>
          <w:bCs/>
          <w:sz w:val="22"/>
          <w:szCs w:val="22"/>
          <w:lang w:eastAsia="en-US"/>
        </w:rPr>
        <w:t>https://learn.dasreda.ru/akseleratorki</w:t>
      </w:r>
      <w:r>
        <w:rPr>
          <w:rStyle w:val="6"/>
          <w:b/>
          <w:bCs/>
          <w:sz w:val="22"/>
          <w:szCs w:val="22"/>
          <w:lang w:eastAsia="en-US"/>
        </w:rPr>
        <w:fldChar w:fldCharType="end"/>
      </w:r>
    </w:p>
    <w:sectPr>
      <w:pgSz w:w="11900" w:h="16840"/>
      <w:pgMar w:top="1418" w:right="1276" w:bottom="1134" w:left="1559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46532"/>
    <w:rsid w:val="00052CD4"/>
    <w:rsid w:val="000548EC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4B1B"/>
    <w:rsid w:val="00075965"/>
    <w:rsid w:val="00084016"/>
    <w:rsid w:val="000842A5"/>
    <w:rsid w:val="0008481F"/>
    <w:rsid w:val="0008554B"/>
    <w:rsid w:val="000855FD"/>
    <w:rsid w:val="00085B72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2EC1"/>
    <w:rsid w:val="000A4077"/>
    <w:rsid w:val="000A547B"/>
    <w:rsid w:val="000A5516"/>
    <w:rsid w:val="000A6AE7"/>
    <w:rsid w:val="000B57BB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1E6D"/>
    <w:rsid w:val="000E3BF4"/>
    <w:rsid w:val="000E7B92"/>
    <w:rsid w:val="000F2831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5657C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A7534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1BD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05BEE"/>
    <w:rsid w:val="00211FBC"/>
    <w:rsid w:val="0021207C"/>
    <w:rsid w:val="00212D77"/>
    <w:rsid w:val="00215222"/>
    <w:rsid w:val="0021741F"/>
    <w:rsid w:val="00222924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5F5D"/>
    <w:rsid w:val="002A6146"/>
    <w:rsid w:val="002A69DA"/>
    <w:rsid w:val="002A6F83"/>
    <w:rsid w:val="002B130D"/>
    <w:rsid w:val="002B36A8"/>
    <w:rsid w:val="002B4B1F"/>
    <w:rsid w:val="002B65F1"/>
    <w:rsid w:val="002B758D"/>
    <w:rsid w:val="002B7FB6"/>
    <w:rsid w:val="002C00EC"/>
    <w:rsid w:val="002C19A4"/>
    <w:rsid w:val="002C27F2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42F9"/>
    <w:rsid w:val="00305954"/>
    <w:rsid w:val="00306180"/>
    <w:rsid w:val="00310C04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1F1D"/>
    <w:rsid w:val="003B5C02"/>
    <w:rsid w:val="003B67A4"/>
    <w:rsid w:val="003B722A"/>
    <w:rsid w:val="003C385F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76F8E"/>
    <w:rsid w:val="0048202B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075FA"/>
    <w:rsid w:val="00511BF8"/>
    <w:rsid w:val="00517C30"/>
    <w:rsid w:val="00521E18"/>
    <w:rsid w:val="0053034D"/>
    <w:rsid w:val="0053266E"/>
    <w:rsid w:val="005367DC"/>
    <w:rsid w:val="00537E42"/>
    <w:rsid w:val="005402A4"/>
    <w:rsid w:val="00540AE0"/>
    <w:rsid w:val="00551728"/>
    <w:rsid w:val="00561779"/>
    <w:rsid w:val="005626FE"/>
    <w:rsid w:val="00562919"/>
    <w:rsid w:val="00564ACB"/>
    <w:rsid w:val="00565089"/>
    <w:rsid w:val="005655EE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2FE8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D7998"/>
    <w:rsid w:val="005E0E37"/>
    <w:rsid w:val="005E2624"/>
    <w:rsid w:val="005E28AD"/>
    <w:rsid w:val="005E3CE3"/>
    <w:rsid w:val="005E5311"/>
    <w:rsid w:val="005E7272"/>
    <w:rsid w:val="005F0178"/>
    <w:rsid w:val="005F1AA7"/>
    <w:rsid w:val="005F2C98"/>
    <w:rsid w:val="005F45FE"/>
    <w:rsid w:val="005F73FB"/>
    <w:rsid w:val="005F7602"/>
    <w:rsid w:val="005F7B3F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23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0E75"/>
    <w:rsid w:val="006B1F01"/>
    <w:rsid w:val="006B201F"/>
    <w:rsid w:val="006B3512"/>
    <w:rsid w:val="006B3800"/>
    <w:rsid w:val="006B53A7"/>
    <w:rsid w:val="006B76EE"/>
    <w:rsid w:val="006C119F"/>
    <w:rsid w:val="006C2DB4"/>
    <w:rsid w:val="006C2E77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3B3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56B4C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38AE"/>
    <w:rsid w:val="00824F59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66C6E"/>
    <w:rsid w:val="00872B1D"/>
    <w:rsid w:val="00874164"/>
    <w:rsid w:val="00874A6B"/>
    <w:rsid w:val="00875033"/>
    <w:rsid w:val="008871A1"/>
    <w:rsid w:val="0088748F"/>
    <w:rsid w:val="00887DC0"/>
    <w:rsid w:val="00890C61"/>
    <w:rsid w:val="008951F6"/>
    <w:rsid w:val="00897E5D"/>
    <w:rsid w:val="008A71A8"/>
    <w:rsid w:val="008A762F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4BC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4E57"/>
    <w:rsid w:val="0094667B"/>
    <w:rsid w:val="00952B44"/>
    <w:rsid w:val="00954683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74C"/>
    <w:rsid w:val="00986BBF"/>
    <w:rsid w:val="00986DA7"/>
    <w:rsid w:val="009923C1"/>
    <w:rsid w:val="00993602"/>
    <w:rsid w:val="009949FB"/>
    <w:rsid w:val="009950B5"/>
    <w:rsid w:val="009A1914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451A"/>
    <w:rsid w:val="009D54D4"/>
    <w:rsid w:val="009D67B1"/>
    <w:rsid w:val="009E1E82"/>
    <w:rsid w:val="009E2663"/>
    <w:rsid w:val="009E685F"/>
    <w:rsid w:val="009F72D5"/>
    <w:rsid w:val="009F73DC"/>
    <w:rsid w:val="00A0039C"/>
    <w:rsid w:val="00A003DE"/>
    <w:rsid w:val="00A016D4"/>
    <w:rsid w:val="00A02159"/>
    <w:rsid w:val="00A025F4"/>
    <w:rsid w:val="00A045A6"/>
    <w:rsid w:val="00A1581F"/>
    <w:rsid w:val="00A168FE"/>
    <w:rsid w:val="00A21D0E"/>
    <w:rsid w:val="00A24BD7"/>
    <w:rsid w:val="00A2592F"/>
    <w:rsid w:val="00A2646B"/>
    <w:rsid w:val="00A30297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4E5F"/>
    <w:rsid w:val="00A755C6"/>
    <w:rsid w:val="00A75DD1"/>
    <w:rsid w:val="00A77746"/>
    <w:rsid w:val="00A817F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1F5"/>
    <w:rsid w:val="00B80FF3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B27A9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3D29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1E6D"/>
    <w:rsid w:val="00C26E8D"/>
    <w:rsid w:val="00C306B7"/>
    <w:rsid w:val="00C324D8"/>
    <w:rsid w:val="00C333B2"/>
    <w:rsid w:val="00C34A51"/>
    <w:rsid w:val="00C34B6C"/>
    <w:rsid w:val="00C34E45"/>
    <w:rsid w:val="00C40700"/>
    <w:rsid w:val="00C40AA1"/>
    <w:rsid w:val="00C40C5D"/>
    <w:rsid w:val="00C41449"/>
    <w:rsid w:val="00C41585"/>
    <w:rsid w:val="00C41C6E"/>
    <w:rsid w:val="00C43416"/>
    <w:rsid w:val="00C450D9"/>
    <w:rsid w:val="00C46B43"/>
    <w:rsid w:val="00C50669"/>
    <w:rsid w:val="00C52423"/>
    <w:rsid w:val="00C54FF7"/>
    <w:rsid w:val="00C551C3"/>
    <w:rsid w:val="00C56784"/>
    <w:rsid w:val="00C62C92"/>
    <w:rsid w:val="00C65122"/>
    <w:rsid w:val="00C66CC2"/>
    <w:rsid w:val="00C7217B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7609"/>
    <w:rsid w:val="00D54A21"/>
    <w:rsid w:val="00D54DBB"/>
    <w:rsid w:val="00D62E1D"/>
    <w:rsid w:val="00D679EF"/>
    <w:rsid w:val="00D70205"/>
    <w:rsid w:val="00D70570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056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077E0"/>
    <w:rsid w:val="00E10E14"/>
    <w:rsid w:val="00E139DE"/>
    <w:rsid w:val="00E221F1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75B76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100C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0A83"/>
    <w:rsid w:val="00F32C2B"/>
    <w:rsid w:val="00F34D46"/>
    <w:rsid w:val="00F350D8"/>
    <w:rsid w:val="00F359FD"/>
    <w:rsid w:val="00F40FCF"/>
    <w:rsid w:val="00F43DA9"/>
    <w:rsid w:val="00F43F85"/>
    <w:rsid w:val="00F46E58"/>
    <w:rsid w:val="00F53FE3"/>
    <w:rsid w:val="00F54FAC"/>
    <w:rsid w:val="00F55A0E"/>
    <w:rsid w:val="00F55A91"/>
    <w:rsid w:val="00F5686A"/>
    <w:rsid w:val="00F60CF4"/>
    <w:rsid w:val="00F61473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3324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  <w:rsid w:val="00FF6ECE"/>
    <w:rsid w:val="6AD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1"/>
    <w:next w:val="1"/>
    <w:link w:val="28"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8"/>
    <w:uiPriority w:val="0"/>
    <w:rPr>
      <w:rFonts w:ascii="Segoe UI" w:hAnsi="Segoe UI" w:cs="Segoe UI"/>
      <w:sz w:val="18"/>
      <w:szCs w:val="18"/>
    </w:rPr>
  </w:style>
  <w:style w:type="paragraph" w:styleId="9">
    <w:name w:val="Body Text 2"/>
    <w:basedOn w:val="1"/>
    <w:link w:val="25"/>
    <w:qFormat/>
    <w:uiPriority w:val="0"/>
    <w:pPr>
      <w:jc w:val="both"/>
    </w:pPr>
    <w:rPr>
      <w:sz w:val="28"/>
    </w:r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Title"/>
    <w:basedOn w:val="1"/>
    <w:link w:val="27"/>
    <w:qFormat/>
    <w:uiPriority w:val="0"/>
    <w:pPr>
      <w:jc w:val="center"/>
    </w:pPr>
    <w:rPr>
      <w:b/>
    </w:rPr>
  </w:style>
  <w:style w:type="paragraph" w:styleId="12">
    <w:name w:val="footer"/>
    <w:basedOn w:val="1"/>
    <w:link w:val="20"/>
    <w:unhideWhenUsed/>
    <w:qFormat/>
    <w:uiPriority w:val="0"/>
    <w:pPr>
      <w:tabs>
        <w:tab w:val="center" w:pos="4677"/>
        <w:tab w:val="right" w:pos="9355"/>
      </w:tabs>
    </w:p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4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R4"/>
    <w:uiPriority w:val="0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rFonts w:ascii="Times New Roman" w:hAnsi="Times New Roman" w:eastAsia="Times New Roman" w:cs="Times New Roman"/>
      <w:sz w:val="16"/>
      <w:szCs w:val="16"/>
      <w:lang w:val="ru-RU" w:eastAsia="ru-RU" w:bidi="ar-SA"/>
    </w:rPr>
  </w:style>
  <w:style w:type="paragraph" w:customStyle="1" w:styleId="16">
    <w:name w:val="Знак Знак Знак Знак"/>
    <w:basedOn w:val="1"/>
    <w:uiPriority w:val="0"/>
    <w:rPr>
      <w:rFonts w:ascii="Verdana" w:hAnsi="Verdana" w:cs="Verdana"/>
      <w:lang w:val="en-US" w:eastAsia="en-US"/>
    </w:rPr>
  </w:style>
  <w:style w:type="paragraph" w:customStyle="1" w:styleId="17">
    <w:name w:val="Знак Знак Знак Знак1"/>
    <w:basedOn w:val="1"/>
    <w:uiPriority w:val="0"/>
    <w:rPr>
      <w:rFonts w:ascii="Verdana" w:hAnsi="Verdana" w:cs="Verdana"/>
      <w:lang w:val="en-US" w:eastAsia="en-US"/>
    </w:rPr>
  </w:style>
  <w:style w:type="character" w:customStyle="1" w:styleId="18">
    <w:name w:val="Текст выноски Знак"/>
    <w:basedOn w:val="4"/>
    <w:link w:val="8"/>
    <w:uiPriority w:val="0"/>
    <w:rPr>
      <w:rFonts w:ascii="Segoe UI" w:hAnsi="Segoe UI" w:cs="Segoe UI"/>
      <w:sz w:val="18"/>
      <w:szCs w:val="18"/>
    </w:rPr>
  </w:style>
  <w:style w:type="character" w:customStyle="1" w:styleId="19">
    <w:name w:val="Верхний колонтитул Знак"/>
    <w:basedOn w:val="4"/>
    <w:link w:val="10"/>
    <w:qFormat/>
    <w:uiPriority w:val="99"/>
  </w:style>
  <w:style w:type="character" w:customStyle="1" w:styleId="20">
    <w:name w:val="Нижний колонтитул Знак"/>
    <w:basedOn w:val="4"/>
    <w:link w:val="12"/>
    <w:uiPriority w:val="0"/>
  </w:style>
  <w:style w:type="paragraph" w:styleId="21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2">
    <w:name w:val="List Paragraph"/>
    <w:basedOn w:val="1"/>
    <w:link w:val="36"/>
    <w:qFormat/>
    <w:uiPriority w:val="34"/>
    <w:pPr>
      <w:ind w:left="720"/>
      <w:contextualSpacing/>
    </w:pPr>
  </w:style>
  <w:style w:type="character" w:customStyle="1" w:styleId="23">
    <w:name w:val="li-head2"/>
    <w:basedOn w:val="4"/>
    <w:uiPriority w:val="0"/>
    <w:rPr>
      <w:i/>
      <w:iCs/>
      <w:color w:val="716D6C"/>
      <w:sz w:val="27"/>
      <w:szCs w:val="27"/>
    </w:rPr>
  </w:style>
  <w:style w:type="character" w:customStyle="1" w:styleId="24">
    <w:name w:val="apple-converted-space"/>
    <w:basedOn w:val="4"/>
    <w:uiPriority w:val="0"/>
  </w:style>
  <w:style w:type="character" w:customStyle="1" w:styleId="25">
    <w:name w:val="Основной текст 2 Знак"/>
    <w:basedOn w:val="4"/>
    <w:link w:val="9"/>
    <w:uiPriority w:val="0"/>
    <w:rPr>
      <w:sz w:val="28"/>
    </w:rPr>
  </w:style>
  <w:style w:type="character" w:customStyle="1" w:styleId="26">
    <w:name w:val="Заголовок 1 Знак"/>
    <w:basedOn w:val="4"/>
    <w:link w:val="2"/>
    <w:qFormat/>
    <w:uiPriority w:val="0"/>
    <w:rPr>
      <w:b/>
      <w:sz w:val="32"/>
    </w:rPr>
  </w:style>
  <w:style w:type="character" w:customStyle="1" w:styleId="27">
    <w:name w:val="Название Знак"/>
    <w:basedOn w:val="4"/>
    <w:link w:val="11"/>
    <w:qFormat/>
    <w:uiPriority w:val="0"/>
    <w:rPr>
      <w:b/>
    </w:rPr>
  </w:style>
  <w:style w:type="character" w:customStyle="1" w:styleId="28">
    <w:name w:val="Заголовок 3 Знак"/>
    <w:basedOn w:val="4"/>
    <w:link w:val="3"/>
    <w:qFormat/>
    <w:uiPriority w:val="0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0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31">
    <w:name w:val="fontstyle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32">
    <w:name w:val="fontstyle21"/>
    <w:basedOn w:val="4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33">
    <w:name w:val="fontstyle31"/>
    <w:basedOn w:val="4"/>
    <w:qFormat/>
    <w:uiPriority w:val="0"/>
    <w:rPr>
      <w:rFonts w:hint="default" w:ascii="ArialMT" w:hAnsi="ArialMT"/>
      <w:color w:val="000000"/>
      <w:sz w:val="24"/>
      <w:szCs w:val="24"/>
    </w:rPr>
  </w:style>
  <w:style w:type="character" w:customStyle="1" w:styleId="34">
    <w:name w:val="fontstyle11"/>
    <w:basedOn w:val="4"/>
    <w:qFormat/>
    <w:uiPriority w:val="0"/>
    <w:rPr>
      <w:rFonts w:hint="default" w:ascii="Arial-BoldMT" w:hAnsi="Arial-BoldMT"/>
      <w:b/>
      <w:bCs/>
      <w:color w:val="21BA71"/>
      <w:sz w:val="24"/>
      <w:szCs w:val="24"/>
    </w:rPr>
  </w:style>
  <w:style w:type="character" w:customStyle="1" w:styleId="35">
    <w:name w:val="fontstyle41"/>
    <w:basedOn w:val="4"/>
    <w:qFormat/>
    <w:uiPriority w:val="0"/>
    <w:rPr>
      <w:rFonts w:hint="default" w:ascii="Calibri" w:hAnsi="Calibri" w:cs="Calibri"/>
      <w:color w:val="000000"/>
      <w:sz w:val="24"/>
      <w:szCs w:val="24"/>
    </w:rPr>
  </w:style>
  <w:style w:type="character" w:customStyle="1" w:styleId="36">
    <w:name w:val="Абзац списка Знак"/>
    <w:link w:val="22"/>
    <w:qFormat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1D85-9280-4603-BB06-DF64F8DD3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1220</Words>
  <Characters>6954</Characters>
  <Lines>57</Lines>
  <Paragraphs>16</Paragraphs>
  <TotalTime>3</TotalTime>
  <ScaleCrop>false</ScaleCrop>
  <LinksUpToDate>false</LinksUpToDate>
  <CharactersWithSpaces>8158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2022-09-13T07:03:00Z</dcterms:created>
  <dc:creator>Lihov</dc:creator>
  <cp:lastModifiedBy>IvanovaYV</cp:lastModifiedBy>
  <cp:lastPrinted>2022-09-08T11:57:00Z</cp:lastPrinted>
  <dcterms:modified xsi:type="dcterms:W3CDTF">2022-09-30T07:56:11Z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90C01413C1CC4C57A3635EEC24D50732</vt:lpwstr>
  </property>
</Properties>
</file>