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6C" w:rsidRPr="00C7666C" w:rsidRDefault="00C7666C" w:rsidP="00C7666C">
      <w:pPr>
        <w:tabs>
          <w:tab w:val="left" w:pos="3180"/>
        </w:tabs>
        <w:spacing w:after="0" w:line="240" w:lineRule="auto"/>
        <w:jc w:val="center"/>
        <w:rPr>
          <w:rFonts w:ascii="Times New Roman" w:hAnsi="Times New Roman" w:cs="Times New Roman"/>
          <w:b/>
          <w:sz w:val="28"/>
          <w:szCs w:val="28"/>
        </w:rPr>
      </w:pPr>
      <w:r w:rsidRPr="00C7666C">
        <w:rPr>
          <w:rFonts w:ascii="Times New Roman" w:hAnsi="Times New Roman" w:cs="Times New Roman"/>
          <w:b/>
          <w:sz w:val="28"/>
          <w:szCs w:val="28"/>
        </w:rPr>
        <w:t>Перечень</w:t>
      </w:r>
    </w:p>
    <w:p w:rsidR="00770CA7" w:rsidRPr="00C7666C" w:rsidRDefault="00770CA7" w:rsidP="00C7666C">
      <w:pPr>
        <w:tabs>
          <w:tab w:val="left" w:pos="3180"/>
        </w:tabs>
        <w:spacing w:after="0" w:line="240" w:lineRule="auto"/>
        <w:jc w:val="center"/>
        <w:rPr>
          <w:rFonts w:ascii="Times New Roman" w:hAnsi="Times New Roman" w:cs="Times New Roman"/>
          <w:b/>
          <w:sz w:val="28"/>
          <w:szCs w:val="28"/>
        </w:rPr>
      </w:pPr>
      <w:r w:rsidRPr="00C7666C">
        <w:rPr>
          <w:rFonts w:ascii="Times New Roman" w:hAnsi="Times New Roman" w:cs="Times New Roman"/>
          <w:b/>
          <w:sz w:val="28"/>
          <w:szCs w:val="28"/>
        </w:rPr>
        <w:t>типовых ситуаций, содержащих факты наличия личной заинтересованности при осуществлении закупок</w:t>
      </w:r>
    </w:p>
    <w:p w:rsidR="00770CA7" w:rsidRDefault="00770CA7"/>
    <w:p w:rsidR="00C7666C" w:rsidRDefault="00C7666C" w:rsidP="00C7666C">
      <w:pPr>
        <w:pStyle w:val="21"/>
        <w:shd w:val="clear" w:color="auto" w:fill="auto"/>
        <w:spacing w:before="0"/>
        <w:ind w:right="120"/>
      </w:pPr>
    </w:p>
    <w:tbl>
      <w:tblPr>
        <w:tblW w:w="9918" w:type="dxa"/>
        <w:jc w:val="center"/>
        <w:tblLayout w:type="fixed"/>
        <w:tblCellMar>
          <w:left w:w="0" w:type="dxa"/>
          <w:right w:w="0" w:type="dxa"/>
        </w:tblCellMar>
        <w:tblLook w:val="04A0" w:firstRow="1" w:lastRow="0" w:firstColumn="1" w:lastColumn="0" w:noHBand="0" w:noVBand="1"/>
      </w:tblPr>
      <w:tblGrid>
        <w:gridCol w:w="998"/>
        <w:gridCol w:w="8920"/>
      </w:tblGrid>
      <w:tr w:rsidR="00C7666C" w:rsidTr="00B0325D">
        <w:trPr>
          <w:trHeight w:hRule="exact" w:val="605"/>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b/>
                <w:sz w:val="28"/>
                <w:szCs w:val="28"/>
              </w:rPr>
            </w:pPr>
            <w:r w:rsidRPr="00B0325D">
              <w:rPr>
                <w:rStyle w:val="20"/>
                <w:b/>
                <w:color w:val="000000"/>
                <w:sz w:val="28"/>
                <w:szCs w:val="28"/>
              </w:rPr>
              <w:t>№ п/п</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Default="00C7666C" w:rsidP="00B0325D">
            <w:pPr>
              <w:pStyle w:val="21"/>
              <w:framePr w:w="10358" w:wrap="notBeside" w:vAnchor="text" w:hAnchor="text" w:xAlign="center" w:y="1"/>
              <w:shd w:val="clear" w:color="auto" w:fill="auto"/>
              <w:spacing w:before="0" w:line="293" w:lineRule="exact"/>
              <w:rPr>
                <w:rStyle w:val="20"/>
                <w:b/>
                <w:color w:val="000000"/>
                <w:sz w:val="28"/>
                <w:szCs w:val="28"/>
              </w:rPr>
            </w:pPr>
            <w:r w:rsidRPr="00B0325D">
              <w:rPr>
                <w:rStyle w:val="20"/>
                <w:b/>
                <w:color w:val="000000"/>
                <w:sz w:val="28"/>
                <w:szCs w:val="28"/>
              </w:rPr>
              <w:t>Возможные ситуации (недолжные приемы в закупках)</w:t>
            </w:r>
          </w:p>
          <w:p w:rsidR="00B0325D" w:rsidRPr="00B0325D" w:rsidRDefault="00B0325D" w:rsidP="00B0325D">
            <w:pPr>
              <w:pStyle w:val="21"/>
              <w:framePr w:w="10358" w:wrap="notBeside" w:vAnchor="text" w:hAnchor="text" w:xAlign="center" w:y="1"/>
              <w:shd w:val="clear" w:color="auto" w:fill="auto"/>
              <w:spacing w:before="0" w:line="293" w:lineRule="exact"/>
              <w:rPr>
                <w:b/>
                <w:sz w:val="28"/>
                <w:szCs w:val="28"/>
              </w:rPr>
            </w:pPr>
          </w:p>
        </w:tc>
      </w:tr>
      <w:tr w:rsidR="00C7666C" w:rsidTr="00B0325D">
        <w:trPr>
          <w:trHeight w:hRule="exact" w:val="1677"/>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работника</w:t>
            </w: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Tr="005B35F3">
        <w:trPr>
          <w:trHeight w:hRule="exact" w:val="852"/>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2</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В утвержденном ведомственном перечне закупаемых товаров, работ, услуг устанавливаются завышенные предельные цены</w:t>
            </w:r>
          </w:p>
          <w:p w:rsidR="005B35F3" w:rsidRPr="00B0325D" w:rsidRDefault="005B35F3"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Tr="00B0325D">
        <w:trPr>
          <w:trHeight w:hRule="exact" w:val="1688"/>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3</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Для достижения благоприятных для «лояльного» подрядчика результатов рассмотрения проектов сметных нормативов/экспертизы проектной документации/аудита предложений о закупках «под ключ» налаживается неформальное взаимодействие с организациями, оказывающими соответствующие услуги</w:t>
            </w: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Tr="00B0325D">
        <w:trPr>
          <w:trHeight w:hRule="exact" w:val="2137"/>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4</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Заказчик в проекте контракта устанавливает слишком короткие сроки его исполнения, в результате чего «нелояльные» поставщики (подрядчики, исполнители) не принимают участие в закупке, осознавая, что не смогут исполнить контракт в установленный заказчиком срок.</w:t>
            </w:r>
          </w:p>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Возможным вариантом при этом является исполнение условий контракта до проведения процедуры, т.е. товар пост</w:t>
            </w:r>
            <w:r w:rsidR="00B0325D" w:rsidRPr="00B0325D">
              <w:rPr>
                <w:rStyle w:val="20"/>
                <w:color w:val="000000"/>
                <w:sz w:val="28"/>
                <w:szCs w:val="28"/>
              </w:rPr>
              <w:t>авлен, работы, услуги выполнены</w:t>
            </w:r>
          </w:p>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p>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p>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p>
          <w:p w:rsidR="00C7666C" w:rsidRPr="00B0325D" w:rsidRDefault="00C7666C" w:rsidP="00B0325D">
            <w:pPr>
              <w:pStyle w:val="21"/>
              <w:framePr w:w="10358" w:wrap="notBeside" w:vAnchor="text" w:hAnchor="text" w:xAlign="center" w:y="1"/>
              <w:shd w:val="clear" w:color="auto" w:fill="auto"/>
              <w:spacing w:before="0"/>
              <w:jc w:val="both"/>
              <w:rPr>
                <w:sz w:val="28"/>
                <w:szCs w:val="28"/>
              </w:rPr>
            </w:pPr>
          </w:p>
        </w:tc>
      </w:tr>
      <w:tr w:rsidR="00C7666C" w:rsidTr="00B0325D">
        <w:trPr>
          <w:trHeight w:hRule="exact" w:val="1699"/>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5</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В конкурентных процедурах по определению поставщика (подрядчика, исполнителя) участвует организация, в которой работает родственник члена конкурсной (аукционной, котировочной) комиссии либо должностного лица заказчика, от которого зависит определение поставщика (подрядчика, исполнителя)</w:t>
            </w: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Tr="00B0325D">
        <w:trPr>
          <w:trHeight w:hRule="exact" w:val="1978"/>
          <w:jc w:val="center"/>
        </w:trPr>
        <w:tc>
          <w:tcPr>
            <w:tcW w:w="998" w:type="dxa"/>
            <w:tcBorders>
              <w:top w:val="single" w:sz="4" w:space="0" w:color="auto"/>
              <w:left w:val="single" w:sz="4" w:space="0" w:color="auto"/>
              <w:bottom w:val="single" w:sz="4" w:space="0" w:color="auto"/>
              <w:right w:val="nil"/>
            </w:tcBorders>
            <w:shd w:val="clear" w:color="auto" w:fill="FFFFFF"/>
            <w:hideMark/>
          </w:tcPr>
          <w:p w:rsidR="00C7666C" w:rsidRPr="00B0325D" w:rsidRDefault="00C7666C">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6</w:t>
            </w:r>
          </w:p>
        </w:tc>
        <w:tc>
          <w:tcPr>
            <w:tcW w:w="8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0325D" w:rsidRPr="00B0325D" w:rsidRDefault="00C7666C" w:rsidP="005B35F3">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организации, осуществляющей закупку, либо осуществлявшее в</w:t>
            </w:r>
            <w:r w:rsidR="005B35F3">
              <w:rPr>
                <w:rStyle w:val="20"/>
                <w:color w:val="000000"/>
                <w:sz w:val="28"/>
                <w:szCs w:val="28"/>
              </w:rPr>
              <w:t xml:space="preserve"> </w:t>
            </w:r>
            <w:r w:rsidR="00B0325D" w:rsidRPr="00B0325D">
              <w:rPr>
                <w:rStyle w:val="20"/>
                <w:color w:val="000000"/>
                <w:sz w:val="28"/>
                <w:szCs w:val="28"/>
              </w:rPr>
              <w:t>отношении данного органа (организации) контрольные или надзорные функции</w:t>
            </w: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bl>
    <w:p w:rsidR="00C7666C" w:rsidRDefault="00C7666C" w:rsidP="00C7666C">
      <w:pPr>
        <w:framePr w:w="10358" w:wrap="notBeside" w:vAnchor="text" w:hAnchor="text" w:xAlign="center" w:y="1"/>
        <w:rPr>
          <w:rFonts w:ascii="Arial Unicode MS" w:hAnsi="Arial Unicode MS" w:cs="Arial Unicode MS"/>
          <w:sz w:val="2"/>
          <w:szCs w:val="2"/>
        </w:rPr>
      </w:pPr>
    </w:p>
    <w:p w:rsidR="00C7666C" w:rsidRDefault="00C7666C" w:rsidP="00C7666C">
      <w:pPr>
        <w:rPr>
          <w:rFonts w:hint="eastAsia"/>
          <w:sz w:val="2"/>
          <w:szCs w:val="2"/>
        </w:rPr>
      </w:pPr>
    </w:p>
    <w:tbl>
      <w:tblPr>
        <w:tblW w:w="9918" w:type="dxa"/>
        <w:jc w:val="center"/>
        <w:tblLayout w:type="fixed"/>
        <w:tblCellMar>
          <w:left w:w="0" w:type="dxa"/>
          <w:right w:w="0" w:type="dxa"/>
        </w:tblCellMar>
        <w:tblLook w:val="04A0" w:firstRow="1" w:lastRow="0" w:firstColumn="1" w:lastColumn="0" w:noHBand="0" w:noVBand="1"/>
      </w:tblPr>
      <w:tblGrid>
        <w:gridCol w:w="998"/>
        <w:gridCol w:w="8920"/>
      </w:tblGrid>
      <w:tr w:rsidR="00C7666C" w:rsidTr="00B0325D">
        <w:trPr>
          <w:trHeight w:hRule="exact" w:val="90"/>
          <w:jc w:val="center"/>
        </w:trPr>
        <w:tc>
          <w:tcPr>
            <w:tcW w:w="998" w:type="dxa"/>
            <w:tcBorders>
              <w:top w:val="single" w:sz="4" w:space="0" w:color="auto"/>
              <w:left w:val="single" w:sz="4" w:space="0" w:color="auto"/>
              <w:bottom w:val="nil"/>
              <w:right w:val="nil"/>
            </w:tcBorders>
            <w:shd w:val="clear" w:color="auto" w:fill="FFFFFF"/>
          </w:tcPr>
          <w:p w:rsidR="00C7666C" w:rsidRDefault="00C7666C">
            <w:pPr>
              <w:framePr w:w="10358" w:wrap="notBeside" w:vAnchor="text" w:hAnchor="text" w:xAlign="center" w:y="1"/>
              <w:rPr>
                <w:rFonts w:hint="eastAsia"/>
                <w:sz w:val="10"/>
                <w:szCs w:val="10"/>
              </w:rPr>
            </w:pP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rStyle w:val="20"/>
                <w:color w:val="000000"/>
              </w:rPr>
            </w:pPr>
          </w:p>
          <w:p w:rsidR="00B0325D" w:rsidRDefault="00B0325D">
            <w:pPr>
              <w:framePr w:w="10358" w:wrap="notBeside" w:vAnchor="text" w:hAnchor="text" w:xAlign="center" w:y="1"/>
              <w:rPr>
                <w:sz w:val="10"/>
                <w:szCs w:val="10"/>
              </w:rPr>
            </w:pPr>
          </w:p>
        </w:tc>
      </w:tr>
      <w:tr w:rsidR="00C7666C" w:rsidRPr="00B0325D" w:rsidTr="00B0325D">
        <w:trPr>
          <w:trHeight w:hRule="exact" w:val="1621"/>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7</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К участию в закупке при определении поставщика (подрядчика, исполнителя) закрытым способом привлекается организация либо контракт заключается с единственным поставщиком (подрядчиком, исполнителем), в которую перешли на работу одно или несколько должностных лиц заказчика</w:t>
            </w: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RPr="00B0325D" w:rsidTr="00B0325D">
        <w:trPr>
          <w:trHeight w:hRule="exact" w:val="1983"/>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8</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Должностное лицо, занимающее руководящую должность в организации, осуществляющей закупку, либо член конкурсной (аукционной, котировочной) комиссии ранее выполняли трудовые функции в организации, подавшей заявку на участие в конкурентной процедуре, и с момента увольнения данных лиц с работы в данной организации прошло менее трех лет</w:t>
            </w:r>
          </w:p>
          <w:p w:rsid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RPr="00B0325D" w:rsidTr="00B0325D">
        <w:trPr>
          <w:trHeight w:hRule="exact" w:val="1713"/>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9</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В конкурентных процедурах участвует организация, в которой у члена конкурсной (аукционной, котировочной) комиссии либо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RPr="00B0325D" w:rsidTr="00B0325D">
        <w:trPr>
          <w:trHeight w:hRule="exact" w:val="1412"/>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10</w:t>
            </w:r>
          </w:p>
        </w:tc>
        <w:tc>
          <w:tcPr>
            <w:tcW w:w="8920" w:type="dxa"/>
            <w:tcBorders>
              <w:top w:val="single" w:sz="4" w:space="0" w:color="auto"/>
              <w:left w:val="single" w:sz="4" w:space="0" w:color="auto"/>
              <w:bottom w:val="nil"/>
              <w:right w:val="single" w:sz="4" w:space="0" w:color="auto"/>
            </w:tcBorders>
            <w:shd w:val="clear" w:color="auto" w:fill="FFFFFF"/>
            <w:vAlign w:val="bottom"/>
            <w:hideMark/>
          </w:tcPr>
          <w:p w:rsidR="00C7666C"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Должностное лицо заказчика и (или) его родственники либо члены конкурсной (аукционной, котировочной) комиссии владеют ценными бумагами организации, подавшей заявку на участие в конкурентной процедуре определения поставщика (подрядчика, исполнителя)</w:t>
            </w: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r w:rsidR="00C7666C" w:rsidRPr="00B0325D" w:rsidTr="00B0325D">
        <w:trPr>
          <w:trHeight w:hRule="exact" w:val="1971"/>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11</w:t>
            </w:r>
          </w:p>
        </w:tc>
        <w:tc>
          <w:tcPr>
            <w:tcW w:w="8920" w:type="dxa"/>
            <w:tcBorders>
              <w:top w:val="single" w:sz="4" w:space="0" w:color="auto"/>
              <w:left w:val="single" w:sz="4" w:space="0" w:color="auto"/>
              <w:bottom w:val="nil"/>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Должностное лицо заказчика, его родственники или иные лица, с которыми связана личная заинтересованность данного работника, получают подарки или иные блага (бесплатные услуги, скидки, ссуды, оплата развлечений, транспортных расходов и т.д.) от физических лиц и/или организаций, участвующих в процедуре закупок или с которыми заключен контракт</w:t>
            </w:r>
          </w:p>
        </w:tc>
      </w:tr>
      <w:tr w:rsidR="00C7666C" w:rsidRPr="00B0325D" w:rsidTr="00B0325D">
        <w:trPr>
          <w:trHeight w:hRule="exact" w:val="1998"/>
          <w:jc w:val="center"/>
        </w:trPr>
        <w:tc>
          <w:tcPr>
            <w:tcW w:w="998" w:type="dxa"/>
            <w:tcBorders>
              <w:top w:val="single" w:sz="4" w:space="0" w:color="auto"/>
              <w:left w:val="single" w:sz="4" w:space="0" w:color="auto"/>
              <w:bottom w:val="single" w:sz="4" w:space="0" w:color="auto"/>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12</w:t>
            </w:r>
          </w:p>
        </w:tc>
        <w:tc>
          <w:tcPr>
            <w:tcW w:w="8920" w:type="dxa"/>
            <w:tcBorders>
              <w:top w:val="single" w:sz="4" w:space="0" w:color="auto"/>
              <w:left w:val="single" w:sz="4" w:space="0" w:color="auto"/>
              <w:bottom w:val="single" w:sz="4" w:space="0" w:color="auto"/>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Заказчик вместо проведения конкурентных процедур заключает контракт с единственным поставщиком (подрядчиком, исполнителем) на поставку товаров, выполнение работ, оказание услуг.</w:t>
            </w:r>
          </w:p>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Возможным вариантом при этом является заключение контракта на выполнение работ, оказание услуг, реализация которых входит в должностные обязанности отдельных работников заказчика</w:t>
            </w:r>
          </w:p>
        </w:tc>
      </w:tr>
    </w:tbl>
    <w:p w:rsidR="00C7666C" w:rsidRPr="00B0325D" w:rsidRDefault="00C7666C" w:rsidP="00B0325D">
      <w:pPr>
        <w:framePr w:w="10358" w:wrap="notBeside" w:vAnchor="text" w:hAnchor="text" w:xAlign="center" w:y="1"/>
        <w:jc w:val="both"/>
        <w:rPr>
          <w:rFonts w:ascii="Times New Roman" w:hAnsi="Times New Roman" w:cs="Times New Roman"/>
          <w:sz w:val="28"/>
          <w:szCs w:val="28"/>
        </w:rPr>
      </w:pPr>
    </w:p>
    <w:p w:rsidR="00C7666C" w:rsidRPr="00B0325D" w:rsidRDefault="00C7666C" w:rsidP="00B0325D">
      <w:pPr>
        <w:jc w:val="both"/>
        <w:rPr>
          <w:rFonts w:ascii="Times New Roman" w:hAnsi="Times New Roman" w:cs="Times New Roman"/>
          <w:sz w:val="28"/>
          <w:szCs w:val="28"/>
        </w:rPr>
      </w:pPr>
    </w:p>
    <w:tbl>
      <w:tblPr>
        <w:tblW w:w="9918" w:type="dxa"/>
        <w:jc w:val="center"/>
        <w:tblLayout w:type="fixed"/>
        <w:tblCellMar>
          <w:left w:w="0" w:type="dxa"/>
          <w:right w:w="0" w:type="dxa"/>
        </w:tblCellMar>
        <w:tblLook w:val="04A0" w:firstRow="1" w:lastRow="0" w:firstColumn="1" w:lastColumn="0" w:noHBand="0" w:noVBand="1"/>
      </w:tblPr>
      <w:tblGrid>
        <w:gridCol w:w="998"/>
        <w:gridCol w:w="8920"/>
      </w:tblGrid>
      <w:tr w:rsidR="00C7666C" w:rsidRPr="00B0325D" w:rsidTr="00B0325D">
        <w:trPr>
          <w:trHeight w:hRule="exact" w:val="4694"/>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lastRenderedPageBreak/>
              <w:t>13</w:t>
            </w:r>
          </w:p>
        </w:tc>
        <w:tc>
          <w:tcPr>
            <w:tcW w:w="8920" w:type="dxa"/>
            <w:tcBorders>
              <w:top w:val="single" w:sz="4" w:space="0" w:color="auto"/>
              <w:left w:val="single" w:sz="4" w:space="0" w:color="auto"/>
              <w:bottom w:val="nil"/>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Заказчик при наличии конкурирующего рынка заключает контракты в соответствии с пунктом 6 части 1 статьи 93 «О контрактной системе в сфере закупок товаров, работ, услуг для обеспечения государственных и муниципальных нужд» (далее - Закон о контрактной системе) с единственным поставщиком (подрядчиком, исполнителем) необоснованно признавая, что закупаемые работы или услуги могут выполняться только органом исполнительной власти, органом местного самоуправления или подведомственным государственным (муниципальным) учреждением, государственным (муниципальным) унитарным предприятием. Разновидностью приема является создание органом исполнительной власти, органом местного самоуправления подведомственного ему государственного (муниципального) учреждения, государственного (муниципального) унитарного предприятия и наделение исключительными полномочиями в условиях существующего конкурентного рынка</w:t>
            </w:r>
          </w:p>
        </w:tc>
      </w:tr>
      <w:tr w:rsidR="00C7666C" w:rsidRPr="00B0325D" w:rsidTr="00B0325D">
        <w:trPr>
          <w:trHeight w:hRule="exact" w:val="1983"/>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14</w:t>
            </w:r>
          </w:p>
        </w:tc>
        <w:tc>
          <w:tcPr>
            <w:tcW w:w="8920" w:type="dxa"/>
            <w:tcBorders>
              <w:top w:val="single" w:sz="4" w:space="0" w:color="auto"/>
              <w:left w:val="single" w:sz="4" w:space="0" w:color="auto"/>
              <w:bottom w:val="nil"/>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Товары, работы, услуги в интересах государственного (муниципального) органа обязанного осуществлять закупки в соответствии с Законом о контрактной системе закупает подведомственная ему организация, осуществляющая закупочную деятельность в соответствии с Федеральным законом от 18.07.2011 № 223-ФЗ «О закупках товаров, работ, услуг отдельными видами юридических лиц»</w:t>
            </w:r>
          </w:p>
        </w:tc>
      </w:tr>
      <w:tr w:rsidR="00C7666C" w:rsidRPr="00B0325D" w:rsidTr="00B0325D">
        <w:trPr>
          <w:trHeight w:hRule="exact" w:val="1982"/>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15</w:t>
            </w:r>
          </w:p>
        </w:tc>
        <w:tc>
          <w:tcPr>
            <w:tcW w:w="8920" w:type="dxa"/>
            <w:tcBorders>
              <w:top w:val="single" w:sz="4" w:space="0" w:color="auto"/>
              <w:left w:val="single" w:sz="4" w:space="0" w:color="auto"/>
              <w:bottom w:val="nil"/>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С целью исключения проведения конкурентных процедур заказчик реализуя возможность, предоставленную ему пунктами 4-5 части 1 статьи 93 Закона о контрактной системе или аналогичными нормами Положения о закупке искусственно разделяет общий объем закупаемых товаров, работ, услуг на части, чтобы осуществить мелкие закупки у единственного поставщика</w:t>
            </w:r>
          </w:p>
        </w:tc>
      </w:tr>
      <w:tr w:rsidR="00C7666C" w:rsidRPr="00B0325D" w:rsidTr="00B0325D">
        <w:trPr>
          <w:trHeight w:hRule="exact" w:val="1699"/>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16</w:t>
            </w:r>
          </w:p>
        </w:tc>
        <w:tc>
          <w:tcPr>
            <w:tcW w:w="8920" w:type="dxa"/>
            <w:tcBorders>
              <w:top w:val="single" w:sz="4" w:space="0" w:color="auto"/>
              <w:left w:val="single" w:sz="4" w:space="0" w:color="auto"/>
              <w:bottom w:val="nil"/>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Заказчик договаривается с «лояльным» исполнителем о том, что на заключенный с ним контракт будет полностью или частично исполняться силами самого заказчика.</w:t>
            </w:r>
          </w:p>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Это позволяет «лояльному» исполнителю значительно снизить цену контракта</w:t>
            </w:r>
          </w:p>
        </w:tc>
      </w:tr>
      <w:tr w:rsidR="00C7666C" w:rsidRPr="00B0325D" w:rsidTr="005B35F3">
        <w:trPr>
          <w:trHeight w:hRule="exact" w:val="1695"/>
          <w:jc w:val="center"/>
        </w:trPr>
        <w:tc>
          <w:tcPr>
            <w:tcW w:w="998" w:type="dxa"/>
            <w:tcBorders>
              <w:top w:val="single" w:sz="4" w:space="0" w:color="auto"/>
              <w:left w:val="single" w:sz="4" w:space="0" w:color="auto"/>
              <w:bottom w:val="single" w:sz="4" w:space="0" w:color="auto"/>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17</w:t>
            </w:r>
          </w:p>
        </w:tc>
        <w:tc>
          <w:tcPr>
            <w:tcW w:w="8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666C"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Заказчик в случае обязательного проведения экспертами, экспертными организациями экспертизы предусмотренных контрактом поставленных товаров,</w:t>
            </w:r>
            <w:r w:rsidR="005B35F3" w:rsidRPr="00B0325D">
              <w:rPr>
                <w:rStyle w:val="20"/>
                <w:color w:val="000000"/>
                <w:sz w:val="28"/>
                <w:szCs w:val="28"/>
              </w:rPr>
              <w:t xml:space="preserve"> </w:t>
            </w:r>
            <w:r w:rsidR="005B35F3" w:rsidRPr="00B0325D">
              <w:rPr>
                <w:rStyle w:val="20"/>
                <w:color w:val="000000"/>
                <w:sz w:val="28"/>
                <w:szCs w:val="28"/>
              </w:rPr>
              <w:t>выполненных работ, оказанных услуг заключает контракт с «лояльными» заказчику и (или) поставщику (подрядчику, исполнителю) экспертами, экспертными организациями</w:t>
            </w:r>
          </w:p>
          <w:p w:rsidR="005B35F3" w:rsidRPr="00B0325D" w:rsidRDefault="005B35F3" w:rsidP="00B0325D">
            <w:pPr>
              <w:pStyle w:val="21"/>
              <w:framePr w:w="10358" w:wrap="notBeside" w:vAnchor="text" w:hAnchor="text" w:xAlign="center" w:y="1"/>
              <w:shd w:val="clear" w:color="auto" w:fill="auto"/>
              <w:spacing w:before="0"/>
              <w:jc w:val="both"/>
              <w:rPr>
                <w:sz w:val="28"/>
                <w:szCs w:val="28"/>
              </w:rPr>
            </w:pPr>
          </w:p>
        </w:tc>
      </w:tr>
    </w:tbl>
    <w:p w:rsidR="00C7666C" w:rsidRPr="00B0325D" w:rsidRDefault="00C7666C" w:rsidP="00B0325D">
      <w:pPr>
        <w:framePr w:w="10358" w:wrap="notBeside" w:vAnchor="text" w:hAnchor="text" w:xAlign="center" w:y="1"/>
        <w:jc w:val="both"/>
        <w:rPr>
          <w:rFonts w:ascii="Times New Roman" w:hAnsi="Times New Roman" w:cs="Times New Roman"/>
          <w:sz w:val="28"/>
          <w:szCs w:val="28"/>
        </w:rPr>
      </w:pPr>
    </w:p>
    <w:p w:rsidR="00C7666C" w:rsidRPr="00B0325D" w:rsidRDefault="00C7666C" w:rsidP="00B0325D">
      <w:pPr>
        <w:jc w:val="both"/>
        <w:rPr>
          <w:rFonts w:ascii="Times New Roman" w:hAnsi="Times New Roman" w:cs="Times New Roman"/>
          <w:sz w:val="28"/>
          <w:szCs w:val="28"/>
        </w:rPr>
      </w:pPr>
    </w:p>
    <w:tbl>
      <w:tblPr>
        <w:tblW w:w="9918" w:type="dxa"/>
        <w:jc w:val="center"/>
        <w:tblLayout w:type="fixed"/>
        <w:tblCellMar>
          <w:left w:w="0" w:type="dxa"/>
          <w:right w:w="0" w:type="dxa"/>
        </w:tblCellMar>
        <w:tblLook w:val="04A0" w:firstRow="1" w:lastRow="0" w:firstColumn="1" w:lastColumn="0" w:noHBand="0" w:noVBand="1"/>
      </w:tblPr>
      <w:tblGrid>
        <w:gridCol w:w="998"/>
        <w:gridCol w:w="8920"/>
      </w:tblGrid>
      <w:tr w:rsidR="00C7666C" w:rsidRPr="00B0325D" w:rsidTr="005B35F3">
        <w:trPr>
          <w:trHeight w:hRule="exact" w:val="90"/>
          <w:jc w:val="center"/>
        </w:trPr>
        <w:tc>
          <w:tcPr>
            <w:tcW w:w="998" w:type="dxa"/>
            <w:tcBorders>
              <w:top w:val="single" w:sz="4" w:space="0" w:color="auto"/>
              <w:left w:val="single" w:sz="4" w:space="0" w:color="auto"/>
              <w:bottom w:val="nil"/>
              <w:right w:val="nil"/>
            </w:tcBorders>
            <w:shd w:val="clear" w:color="auto" w:fill="FFFFFF"/>
          </w:tcPr>
          <w:p w:rsidR="00C7666C" w:rsidRPr="00B0325D" w:rsidRDefault="00C7666C" w:rsidP="00B0325D">
            <w:pPr>
              <w:framePr w:w="10358" w:wrap="notBeside" w:vAnchor="text" w:hAnchor="text" w:xAlign="center" w:y="1"/>
              <w:jc w:val="both"/>
              <w:rPr>
                <w:rFonts w:ascii="Times New Roman" w:hAnsi="Times New Roman" w:cs="Times New Roman"/>
                <w:sz w:val="28"/>
                <w:szCs w:val="28"/>
              </w:rPr>
            </w:pPr>
          </w:p>
        </w:tc>
        <w:tc>
          <w:tcPr>
            <w:tcW w:w="8920" w:type="dxa"/>
            <w:tcBorders>
              <w:top w:val="single" w:sz="4" w:space="0" w:color="auto"/>
              <w:left w:val="single" w:sz="4" w:space="0" w:color="auto"/>
              <w:bottom w:val="nil"/>
              <w:right w:val="single" w:sz="4" w:space="0" w:color="auto"/>
            </w:tcBorders>
            <w:shd w:val="clear" w:color="auto" w:fill="FFFFFF"/>
            <w:hideMark/>
          </w:tcPr>
          <w:p w:rsidR="00C7666C" w:rsidRDefault="00C7666C" w:rsidP="00B0325D">
            <w:pPr>
              <w:pStyle w:val="21"/>
              <w:framePr w:w="10358" w:wrap="notBeside" w:vAnchor="text" w:hAnchor="text" w:xAlign="center" w:y="1"/>
              <w:shd w:val="clear" w:color="auto" w:fill="auto"/>
              <w:spacing w:before="0" w:line="307" w:lineRule="exact"/>
              <w:jc w:val="both"/>
              <w:rPr>
                <w:rStyle w:val="20"/>
                <w:color w:val="000000"/>
                <w:sz w:val="28"/>
                <w:szCs w:val="28"/>
              </w:rPr>
            </w:pPr>
          </w:p>
          <w:p w:rsidR="005B35F3" w:rsidRPr="00B0325D" w:rsidRDefault="005B35F3" w:rsidP="00B0325D">
            <w:pPr>
              <w:pStyle w:val="21"/>
              <w:framePr w:w="10358" w:wrap="notBeside" w:vAnchor="text" w:hAnchor="text" w:xAlign="center" w:y="1"/>
              <w:shd w:val="clear" w:color="auto" w:fill="auto"/>
              <w:spacing w:before="0" w:line="307" w:lineRule="exact"/>
              <w:jc w:val="both"/>
              <w:rPr>
                <w:sz w:val="28"/>
                <w:szCs w:val="28"/>
              </w:rPr>
            </w:pPr>
          </w:p>
        </w:tc>
      </w:tr>
      <w:tr w:rsidR="00C7666C" w:rsidRPr="00B0325D" w:rsidTr="005B35F3">
        <w:trPr>
          <w:trHeight w:hRule="exact" w:val="3038"/>
          <w:jc w:val="center"/>
        </w:trPr>
        <w:tc>
          <w:tcPr>
            <w:tcW w:w="998" w:type="dxa"/>
            <w:tcBorders>
              <w:top w:val="single" w:sz="4" w:space="0" w:color="auto"/>
              <w:left w:val="single" w:sz="4" w:space="0" w:color="auto"/>
              <w:bottom w:val="nil"/>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18</w:t>
            </w:r>
          </w:p>
        </w:tc>
        <w:tc>
          <w:tcPr>
            <w:tcW w:w="8920" w:type="dxa"/>
            <w:tcBorders>
              <w:top w:val="single" w:sz="4" w:space="0" w:color="auto"/>
              <w:left w:val="single" w:sz="4" w:space="0" w:color="auto"/>
              <w:bottom w:val="nil"/>
              <w:right w:val="single" w:sz="4" w:space="0" w:color="auto"/>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В случае победы в закупке «нелояльного» участника заказчик предпринимает попытку договориться с ним о коррупционном взаимодействии (например, о заключении договора субподряда с «лояльными» организациями):</w:t>
            </w:r>
          </w:p>
          <w:p w:rsidR="00C7666C" w:rsidRPr="00B0325D" w:rsidRDefault="00C7666C" w:rsidP="00B0325D">
            <w:pPr>
              <w:pStyle w:val="21"/>
              <w:framePr w:w="10358" w:wrap="notBeside" w:vAnchor="text" w:hAnchor="text" w:xAlign="center" w:y="1"/>
              <w:numPr>
                <w:ilvl w:val="0"/>
                <w:numId w:val="2"/>
              </w:numPr>
              <w:shd w:val="clear" w:color="auto" w:fill="auto"/>
              <w:tabs>
                <w:tab w:val="left" w:pos="226"/>
              </w:tabs>
              <w:spacing w:before="0"/>
              <w:jc w:val="both"/>
              <w:rPr>
                <w:sz w:val="28"/>
                <w:szCs w:val="28"/>
              </w:rPr>
            </w:pPr>
            <w:r w:rsidRPr="00B0325D">
              <w:rPr>
                <w:rStyle w:val="20"/>
                <w:color w:val="000000"/>
                <w:sz w:val="28"/>
                <w:szCs w:val="28"/>
              </w:rPr>
              <w:t>посредством использования положительных стимулов (обещания победы в последующих закупках);</w:t>
            </w:r>
          </w:p>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посредством использования угроз (затруднение приемки работ, вплоть до полного отказа от приемки и попадания организации в реестр недобросовестных поставщиков; проблем с участием в будущих закупках)</w:t>
            </w:r>
          </w:p>
        </w:tc>
      </w:tr>
      <w:tr w:rsidR="00C7666C" w:rsidRPr="00B0325D" w:rsidTr="005B35F3">
        <w:trPr>
          <w:trHeight w:hRule="exact" w:val="2116"/>
          <w:jc w:val="center"/>
        </w:trPr>
        <w:tc>
          <w:tcPr>
            <w:tcW w:w="998" w:type="dxa"/>
            <w:tcBorders>
              <w:top w:val="single" w:sz="4" w:space="0" w:color="auto"/>
              <w:left w:val="single" w:sz="4" w:space="0" w:color="auto"/>
              <w:bottom w:val="single" w:sz="4" w:space="0" w:color="auto"/>
              <w:right w:val="nil"/>
            </w:tcBorders>
            <w:shd w:val="clear" w:color="auto" w:fill="FFFFFF"/>
            <w:hideMark/>
          </w:tcPr>
          <w:p w:rsidR="00C7666C" w:rsidRPr="00B0325D" w:rsidRDefault="00C7666C" w:rsidP="00B0325D">
            <w:pPr>
              <w:pStyle w:val="21"/>
              <w:framePr w:w="10358" w:wrap="notBeside" w:vAnchor="text" w:hAnchor="text" w:xAlign="center" w:y="1"/>
              <w:shd w:val="clear" w:color="auto" w:fill="auto"/>
              <w:spacing w:before="0" w:line="240" w:lineRule="exact"/>
              <w:rPr>
                <w:sz w:val="28"/>
                <w:szCs w:val="28"/>
              </w:rPr>
            </w:pPr>
            <w:r w:rsidRPr="00B0325D">
              <w:rPr>
                <w:rStyle w:val="20"/>
                <w:color w:val="000000"/>
                <w:sz w:val="28"/>
                <w:szCs w:val="28"/>
              </w:rPr>
              <w:t>19</w:t>
            </w:r>
          </w:p>
        </w:tc>
        <w:tc>
          <w:tcPr>
            <w:tcW w:w="8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666C" w:rsidRPr="00B0325D" w:rsidRDefault="00C7666C" w:rsidP="00B0325D">
            <w:pPr>
              <w:pStyle w:val="21"/>
              <w:framePr w:w="10358" w:wrap="notBeside" w:vAnchor="text" w:hAnchor="text" w:xAlign="center" w:y="1"/>
              <w:shd w:val="clear" w:color="auto" w:fill="auto"/>
              <w:spacing w:before="0"/>
              <w:jc w:val="both"/>
              <w:rPr>
                <w:sz w:val="28"/>
                <w:szCs w:val="28"/>
              </w:rPr>
            </w:pPr>
            <w:r w:rsidRPr="00B0325D">
              <w:rPr>
                <w:rStyle w:val="20"/>
                <w:color w:val="000000"/>
                <w:sz w:val="28"/>
                <w:szCs w:val="28"/>
              </w:rPr>
              <w:t>Заказчик, зная, что работы не были выполнены в полном объеме или были выполнены некачественно, подписывает акты приемки работ у «лояльного» исполнителя.</w:t>
            </w:r>
          </w:p>
          <w:p w:rsidR="00C7666C" w:rsidRPr="00B0325D" w:rsidRDefault="00C7666C" w:rsidP="00B0325D">
            <w:pPr>
              <w:pStyle w:val="21"/>
              <w:framePr w:w="10358" w:wrap="notBeside" w:vAnchor="text" w:hAnchor="text" w:xAlign="center" w:y="1"/>
              <w:shd w:val="clear" w:color="auto" w:fill="auto"/>
              <w:spacing w:before="0"/>
              <w:jc w:val="both"/>
              <w:rPr>
                <w:rStyle w:val="20"/>
                <w:color w:val="000000"/>
                <w:sz w:val="28"/>
                <w:szCs w:val="28"/>
              </w:rPr>
            </w:pPr>
            <w:r w:rsidRPr="00B0325D">
              <w:rPr>
                <w:rStyle w:val="20"/>
                <w:color w:val="000000"/>
                <w:sz w:val="28"/>
                <w:szCs w:val="28"/>
              </w:rPr>
              <w:t xml:space="preserve">После этого заказчик проводит новую закупку, предметом которой фактически является устранение </w:t>
            </w:r>
            <w:proofErr w:type="gramStart"/>
            <w:r w:rsidRPr="00B0325D">
              <w:rPr>
                <w:rStyle w:val="20"/>
                <w:color w:val="000000"/>
                <w:sz w:val="28"/>
                <w:szCs w:val="28"/>
              </w:rPr>
              <w:t>дефектов</w:t>
            </w:r>
            <w:r w:rsidR="005B35F3">
              <w:rPr>
                <w:rStyle w:val="20"/>
                <w:color w:val="000000"/>
                <w:sz w:val="28"/>
                <w:szCs w:val="28"/>
              </w:rPr>
              <w:t xml:space="preserve">, </w:t>
            </w:r>
            <w:r w:rsidRPr="00B0325D">
              <w:rPr>
                <w:rStyle w:val="20"/>
                <w:color w:val="000000"/>
                <w:sz w:val="28"/>
                <w:szCs w:val="28"/>
              </w:rPr>
              <w:t xml:space="preserve"> выявленных</w:t>
            </w:r>
            <w:proofErr w:type="gramEnd"/>
            <w:r w:rsidRPr="00B0325D">
              <w:rPr>
                <w:rStyle w:val="20"/>
                <w:color w:val="000000"/>
                <w:sz w:val="28"/>
                <w:szCs w:val="28"/>
              </w:rPr>
              <w:t xml:space="preserve"> в рамках предыдущего контракта</w:t>
            </w: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rStyle w:val="20"/>
                <w:color w:val="000000"/>
                <w:sz w:val="28"/>
                <w:szCs w:val="28"/>
              </w:rPr>
            </w:pPr>
          </w:p>
          <w:p w:rsidR="00B0325D" w:rsidRPr="00B0325D" w:rsidRDefault="00B0325D" w:rsidP="00B0325D">
            <w:pPr>
              <w:pStyle w:val="21"/>
              <w:framePr w:w="10358" w:wrap="notBeside" w:vAnchor="text" w:hAnchor="text" w:xAlign="center" w:y="1"/>
              <w:shd w:val="clear" w:color="auto" w:fill="auto"/>
              <w:spacing w:before="0"/>
              <w:jc w:val="both"/>
              <w:rPr>
                <w:sz w:val="28"/>
                <w:szCs w:val="28"/>
              </w:rPr>
            </w:pPr>
          </w:p>
        </w:tc>
      </w:tr>
    </w:tbl>
    <w:p w:rsidR="00C7666C" w:rsidRPr="00B0325D" w:rsidRDefault="00C7666C" w:rsidP="00C7666C">
      <w:pPr>
        <w:framePr w:w="10358" w:wrap="notBeside" w:vAnchor="text" w:hAnchor="text" w:xAlign="center" w:y="1"/>
        <w:rPr>
          <w:rFonts w:ascii="Times New Roman" w:hAnsi="Times New Roman" w:cs="Times New Roman"/>
          <w:sz w:val="28"/>
          <w:szCs w:val="28"/>
        </w:rPr>
      </w:pPr>
    </w:p>
    <w:p w:rsidR="00C7666C" w:rsidRDefault="00C7666C" w:rsidP="00C7666C">
      <w:pPr>
        <w:rPr>
          <w:rFonts w:hint="eastAsia"/>
          <w:sz w:val="2"/>
          <w:szCs w:val="2"/>
        </w:rPr>
      </w:pPr>
    </w:p>
    <w:p w:rsidR="00C7666C" w:rsidRDefault="00C7666C" w:rsidP="00C7666C">
      <w:pPr>
        <w:rPr>
          <w:rFonts w:hint="eastAsia"/>
          <w:sz w:val="2"/>
          <w:szCs w:val="2"/>
        </w:rPr>
      </w:pPr>
    </w:p>
    <w:p w:rsidR="00770CA7" w:rsidRDefault="005B35F3" w:rsidP="005B35F3">
      <w:pPr>
        <w:tabs>
          <w:tab w:val="left" w:pos="4080"/>
        </w:tabs>
      </w:pPr>
      <w:r>
        <w:tab/>
        <w:t>___________</w:t>
      </w:r>
      <w:bookmarkStart w:id="0" w:name="_GoBack"/>
      <w:bookmarkEnd w:id="0"/>
    </w:p>
    <w:p w:rsidR="00770CA7" w:rsidRDefault="00770CA7"/>
    <w:p w:rsidR="00770CA7" w:rsidRDefault="00770CA7"/>
    <w:p w:rsidR="00770CA7" w:rsidRDefault="00770CA7"/>
    <w:sectPr w:rsidR="0077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0E95E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47500ADA"/>
    <w:multiLevelType w:val="hybridMultilevel"/>
    <w:tmpl w:val="12A21F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8"/>
    <w:rsid w:val="001556C9"/>
    <w:rsid w:val="005047B7"/>
    <w:rsid w:val="005B35F3"/>
    <w:rsid w:val="00770CA7"/>
    <w:rsid w:val="00772E84"/>
    <w:rsid w:val="00B0325D"/>
    <w:rsid w:val="00C7666C"/>
    <w:rsid w:val="00F4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432F"/>
  <w15:chartTrackingRefBased/>
  <w15:docId w15:val="{DEAC9DB7-E7B1-4F9C-BDAD-AE9C926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556C9"/>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1556C9"/>
    <w:pPr>
      <w:spacing w:after="200" w:line="276" w:lineRule="auto"/>
      <w:ind w:left="720"/>
      <w:contextualSpacing/>
    </w:pPr>
  </w:style>
  <w:style w:type="character" w:customStyle="1" w:styleId="2">
    <w:name w:val="Основной текст (2)_"/>
    <w:basedOn w:val="a0"/>
    <w:link w:val="21"/>
    <w:uiPriority w:val="99"/>
    <w:locked/>
    <w:rsid w:val="001556C9"/>
    <w:rPr>
      <w:rFonts w:ascii="Times New Roman" w:hAnsi="Times New Roman" w:cs="Times New Roman"/>
      <w:shd w:val="clear" w:color="auto" w:fill="FFFFFF"/>
    </w:rPr>
  </w:style>
  <w:style w:type="paragraph" w:customStyle="1" w:styleId="21">
    <w:name w:val="Основной текст (2)1"/>
    <w:basedOn w:val="a"/>
    <w:link w:val="2"/>
    <w:uiPriority w:val="99"/>
    <w:rsid w:val="001556C9"/>
    <w:pPr>
      <w:widowControl w:val="0"/>
      <w:shd w:val="clear" w:color="auto" w:fill="FFFFFF"/>
      <w:spacing w:before="900" w:after="0" w:line="298" w:lineRule="exact"/>
      <w:jc w:val="center"/>
    </w:pPr>
    <w:rPr>
      <w:rFonts w:ascii="Times New Roman" w:hAnsi="Times New Roman" w:cs="Times New Roman"/>
    </w:rPr>
  </w:style>
  <w:style w:type="character" w:customStyle="1" w:styleId="20">
    <w:name w:val="Основной текст (2)"/>
    <w:basedOn w:val="2"/>
    <w:uiPriority w:val="99"/>
    <w:rsid w:val="001556C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1265">
      <w:bodyDiv w:val="1"/>
      <w:marLeft w:val="0"/>
      <w:marRight w:val="0"/>
      <w:marTop w:val="0"/>
      <w:marBottom w:val="0"/>
      <w:divBdr>
        <w:top w:val="none" w:sz="0" w:space="0" w:color="auto"/>
        <w:left w:val="none" w:sz="0" w:space="0" w:color="auto"/>
        <w:bottom w:val="none" w:sz="0" w:space="0" w:color="auto"/>
        <w:right w:val="none" w:sz="0" w:space="0" w:color="auto"/>
      </w:divBdr>
    </w:div>
    <w:div w:id="11744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Марина Александровна</dc:creator>
  <cp:keywords/>
  <dc:description/>
  <cp:lastModifiedBy>Первухина Марина Александровна</cp:lastModifiedBy>
  <cp:revision>2</cp:revision>
  <dcterms:created xsi:type="dcterms:W3CDTF">2024-02-06T05:03:00Z</dcterms:created>
  <dcterms:modified xsi:type="dcterms:W3CDTF">2024-02-06T06:21:00Z</dcterms:modified>
</cp:coreProperties>
</file>