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98D" w:rsidRPr="00664C6D" w:rsidRDefault="0029298D" w:rsidP="006A7649">
      <w:pPr>
        <w:spacing w:line="276" w:lineRule="auto"/>
        <w:jc w:val="right"/>
        <w:rPr>
          <w:szCs w:val="24"/>
        </w:rPr>
      </w:pPr>
      <w:r w:rsidRPr="00664C6D">
        <w:rPr>
          <w:szCs w:val="24"/>
        </w:rPr>
        <w:t>ПРИЛОЖЕ</w:t>
      </w:r>
      <w:bookmarkStart w:id="0" w:name="_GoBack"/>
      <w:bookmarkEnd w:id="0"/>
      <w:r w:rsidRPr="00664C6D">
        <w:rPr>
          <w:szCs w:val="24"/>
        </w:rPr>
        <w:t>НИЕ</w:t>
      </w:r>
    </w:p>
    <w:p w:rsidR="0029298D" w:rsidRPr="00664C6D" w:rsidRDefault="0029298D" w:rsidP="006A7649">
      <w:pPr>
        <w:spacing w:line="276" w:lineRule="auto"/>
        <w:jc w:val="right"/>
        <w:rPr>
          <w:szCs w:val="24"/>
        </w:rPr>
      </w:pPr>
      <w:r w:rsidRPr="00664C6D">
        <w:rPr>
          <w:szCs w:val="24"/>
        </w:rPr>
        <w:t>к прогнозу социально-экономического</w:t>
      </w:r>
    </w:p>
    <w:p w:rsidR="0029298D" w:rsidRPr="00664C6D" w:rsidRDefault="0029298D" w:rsidP="006A7649">
      <w:pPr>
        <w:spacing w:line="276" w:lineRule="auto"/>
        <w:jc w:val="right"/>
        <w:rPr>
          <w:szCs w:val="24"/>
        </w:rPr>
      </w:pPr>
      <w:r w:rsidRPr="00664C6D">
        <w:rPr>
          <w:szCs w:val="24"/>
        </w:rPr>
        <w:t xml:space="preserve">                                                                                     ра</w:t>
      </w:r>
      <w:r w:rsidR="00BC5154" w:rsidRPr="00664C6D">
        <w:rPr>
          <w:szCs w:val="24"/>
        </w:rPr>
        <w:t>звития Белоярского района на 2020</w:t>
      </w:r>
      <w:r w:rsidRPr="00664C6D">
        <w:rPr>
          <w:szCs w:val="24"/>
        </w:rPr>
        <w:t xml:space="preserve"> год </w:t>
      </w:r>
    </w:p>
    <w:p w:rsidR="0029298D" w:rsidRPr="00664C6D" w:rsidRDefault="0029298D" w:rsidP="006A7649">
      <w:pPr>
        <w:spacing w:line="276" w:lineRule="auto"/>
        <w:jc w:val="right"/>
        <w:rPr>
          <w:szCs w:val="24"/>
        </w:rPr>
      </w:pPr>
      <w:r w:rsidRPr="00664C6D">
        <w:rPr>
          <w:szCs w:val="24"/>
        </w:rPr>
        <w:t xml:space="preserve">                                                                               </w:t>
      </w:r>
      <w:r w:rsidR="00B126EA" w:rsidRPr="00664C6D">
        <w:rPr>
          <w:szCs w:val="24"/>
        </w:rPr>
        <w:t xml:space="preserve">и плановый период </w:t>
      </w:r>
      <w:r w:rsidR="008F565A" w:rsidRPr="00664C6D">
        <w:rPr>
          <w:szCs w:val="24"/>
        </w:rPr>
        <w:t xml:space="preserve">до </w:t>
      </w:r>
      <w:r w:rsidR="00334DA8">
        <w:rPr>
          <w:szCs w:val="24"/>
        </w:rPr>
        <w:t xml:space="preserve">2021 и </w:t>
      </w:r>
      <w:r w:rsidR="008F565A" w:rsidRPr="00664C6D">
        <w:rPr>
          <w:szCs w:val="24"/>
        </w:rPr>
        <w:t>202</w:t>
      </w:r>
      <w:r w:rsidR="00664C6D" w:rsidRPr="00664C6D">
        <w:rPr>
          <w:szCs w:val="24"/>
        </w:rPr>
        <w:t>2</w:t>
      </w:r>
      <w:r w:rsidR="008F565A" w:rsidRPr="00664C6D">
        <w:rPr>
          <w:szCs w:val="24"/>
        </w:rPr>
        <w:t xml:space="preserve"> год</w:t>
      </w:r>
      <w:r w:rsidR="00334DA8">
        <w:rPr>
          <w:szCs w:val="24"/>
        </w:rPr>
        <w:t>ов</w:t>
      </w:r>
    </w:p>
    <w:p w:rsidR="0029298D" w:rsidRPr="00D93506" w:rsidRDefault="0029298D" w:rsidP="006A7649">
      <w:pPr>
        <w:spacing w:line="276" w:lineRule="auto"/>
        <w:jc w:val="center"/>
        <w:rPr>
          <w:b/>
          <w:color w:val="FF0000"/>
          <w:szCs w:val="24"/>
        </w:rPr>
      </w:pPr>
    </w:p>
    <w:p w:rsidR="0029298D" w:rsidRPr="00D93506" w:rsidRDefault="0029298D" w:rsidP="006A7649">
      <w:pPr>
        <w:spacing w:line="276" w:lineRule="auto"/>
        <w:jc w:val="center"/>
        <w:rPr>
          <w:b/>
          <w:color w:val="FF0000"/>
          <w:szCs w:val="24"/>
        </w:rPr>
      </w:pPr>
    </w:p>
    <w:p w:rsidR="0029298D" w:rsidRPr="00D93506" w:rsidRDefault="0029298D" w:rsidP="006A7649">
      <w:pPr>
        <w:spacing w:line="276" w:lineRule="auto"/>
        <w:jc w:val="center"/>
        <w:rPr>
          <w:b/>
          <w:color w:val="FF0000"/>
          <w:szCs w:val="24"/>
        </w:rPr>
      </w:pPr>
    </w:p>
    <w:p w:rsidR="0029298D" w:rsidRPr="00664C6D" w:rsidRDefault="005119E4" w:rsidP="006A7649">
      <w:pPr>
        <w:spacing w:line="276" w:lineRule="auto"/>
        <w:jc w:val="center"/>
        <w:rPr>
          <w:b/>
          <w:szCs w:val="24"/>
        </w:rPr>
      </w:pPr>
      <w:r w:rsidRPr="00664C6D">
        <w:rPr>
          <w:b/>
          <w:szCs w:val="24"/>
        </w:rPr>
        <w:t>ПОЯСНИТЕЛЬНАЯ</w:t>
      </w:r>
      <w:r w:rsidR="0029298D" w:rsidRPr="00664C6D">
        <w:rPr>
          <w:b/>
          <w:szCs w:val="24"/>
        </w:rPr>
        <w:t xml:space="preserve"> ЗАПИСКА</w:t>
      </w:r>
    </w:p>
    <w:p w:rsidR="0029298D" w:rsidRPr="00664C6D" w:rsidRDefault="0029298D" w:rsidP="006A7649">
      <w:pPr>
        <w:spacing w:line="276" w:lineRule="auto"/>
        <w:jc w:val="center"/>
        <w:rPr>
          <w:b/>
          <w:szCs w:val="24"/>
        </w:rPr>
      </w:pPr>
      <w:r w:rsidRPr="00664C6D">
        <w:rPr>
          <w:b/>
          <w:szCs w:val="24"/>
        </w:rPr>
        <w:t>к прогнозу социально-экономического развития Белоярского района</w:t>
      </w:r>
    </w:p>
    <w:p w:rsidR="0029298D" w:rsidRPr="00664C6D" w:rsidRDefault="00BC5154" w:rsidP="006A7649">
      <w:pPr>
        <w:spacing w:line="276" w:lineRule="auto"/>
        <w:jc w:val="center"/>
        <w:rPr>
          <w:b/>
          <w:szCs w:val="24"/>
        </w:rPr>
      </w:pPr>
      <w:r w:rsidRPr="00664C6D">
        <w:rPr>
          <w:b/>
          <w:szCs w:val="24"/>
        </w:rPr>
        <w:t>на 2020</w:t>
      </w:r>
      <w:r w:rsidR="0029298D" w:rsidRPr="00664C6D">
        <w:rPr>
          <w:b/>
          <w:szCs w:val="24"/>
        </w:rPr>
        <w:t xml:space="preserve"> год и </w:t>
      </w:r>
      <w:r w:rsidRPr="00BF71FF">
        <w:rPr>
          <w:b/>
          <w:szCs w:val="24"/>
        </w:rPr>
        <w:t xml:space="preserve">плановый период </w:t>
      </w:r>
      <w:r w:rsidR="00BF71FF" w:rsidRPr="00BF71FF">
        <w:rPr>
          <w:b/>
          <w:szCs w:val="24"/>
        </w:rPr>
        <w:t>2021 и 2022 годов</w:t>
      </w:r>
    </w:p>
    <w:p w:rsidR="00BF71FF" w:rsidRDefault="00BF71FF" w:rsidP="006A7649">
      <w:pPr>
        <w:spacing w:line="276" w:lineRule="auto"/>
        <w:ind w:firstLine="708"/>
        <w:jc w:val="both"/>
        <w:rPr>
          <w:szCs w:val="24"/>
        </w:rPr>
      </w:pPr>
    </w:p>
    <w:p w:rsidR="00BF71FF" w:rsidRPr="00780832" w:rsidRDefault="00BF71FF" w:rsidP="006A7649">
      <w:pPr>
        <w:spacing w:line="276" w:lineRule="auto"/>
        <w:ind w:firstLine="708"/>
        <w:jc w:val="both"/>
        <w:rPr>
          <w:szCs w:val="24"/>
        </w:rPr>
      </w:pPr>
      <w:r w:rsidRPr="00780832">
        <w:rPr>
          <w:szCs w:val="24"/>
        </w:rPr>
        <w:t>Прогноз социально-экономического развития Белоярск</w:t>
      </w:r>
      <w:r>
        <w:rPr>
          <w:szCs w:val="24"/>
        </w:rPr>
        <w:t>ого района</w:t>
      </w:r>
      <w:r w:rsidRPr="00780832">
        <w:rPr>
          <w:szCs w:val="24"/>
        </w:rPr>
        <w:t xml:space="preserve"> на 2020 год и плановый период 2021 и 2022 годов разработан на основе сценарных условий, основных параметров прогноза социально-экономического развития Российской Федерации, одобренных Правительством Российской Федерации, с учетом основных ориентиров и приоритетов социально-экономического развития Российской Федерации, Ханты-Мансийского автономного округа – Югры, определенных Президентом Российской Федерации, Губернатором Ханты-Мансийского автономного округа – Югры.</w:t>
      </w:r>
    </w:p>
    <w:p w:rsidR="00BF71FF" w:rsidRPr="00780832" w:rsidRDefault="00BF71FF" w:rsidP="006A7649">
      <w:pPr>
        <w:spacing w:line="276" w:lineRule="auto"/>
        <w:ind w:firstLine="708"/>
        <w:jc w:val="both"/>
        <w:rPr>
          <w:szCs w:val="24"/>
        </w:rPr>
      </w:pPr>
      <w:r w:rsidRPr="00780832">
        <w:rPr>
          <w:szCs w:val="24"/>
        </w:rPr>
        <w:t>Прогноз предполагает достижение национальных целей развития и ключевых целевых показателей национальных проектов, установленных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BF71FF" w:rsidRPr="00780832" w:rsidRDefault="00BF71FF" w:rsidP="006A7649">
      <w:pPr>
        <w:spacing w:line="276" w:lineRule="auto"/>
        <w:ind w:firstLine="708"/>
        <w:jc w:val="both"/>
        <w:rPr>
          <w:szCs w:val="24"/>
        </w:rPr>
      </w:pPr>
      <w:r w:rsidRPr="00780832">
        <w:rPr>
          <w:szCs w:val="24"/>
        </w:rPr>
        <w:t xml:space="preserve">Расчет основных показателей прогноза выполнен в двух вариантах: консервативном и базовом. </w:t>
      </w:r>
    </w:p>
    <w:p w:rsidR="00BF71FF" w:rsidRPr="00780832" w:rsidRDefault="00BF71FF" w:rsidP="006A7649">
      <w:pPr>
        <w:spacing w:line="276" w:lineRule="auto"/>
        <w:ind w:firstLine="708"/>
        <w:jc w:val="both"/>
        <w:rPr>
          <w:szCs w:val="24"/>
        </w:rPr>
      </w:pPr>
      <w:r w:rsidRPr="00780832">
        <w:rPr>
          <w:szCs w:val="24"/>
        </w:rPr>
        <w:t>В консервативном варианте заложены последствия неблагоприятных внешних условий, связанных с политикой западных стран по отношению к России: волатильность курса рубля, ограничение технологического импорта. Экономическими последствиями изменения этих условий будут ускорение инфляции, замедление темпов роста инвестиций в основной капитал, доходов населения, экономического роста в целом.</w:t>
      </w:r>
    </w:p>
    <w:p w:rsidR="00BF71FF" w:rsidRPr="00780832" w:rsidRDefault="00BF71FF" w:rsidP="006A7649">
      <w:pPr>
        <w:spacing w:line="276" w:lineRule="auto"/>
        <w:ind w:firstLine="708"/>
        <w:jc w:val="both"/>
        <w:rPr>
          <w:szCs w:val="24"/>
        </w:rPr>
      </w:pPr>
      <w:r w:rsidRPr="00780832">
        <w:rPr>
          <w:szCs w:val="24"/>
        </w:rPr>
        <w:t>Базовый вариант характеризует развитие экономики более высокими темпами, чем в консервативном варианте, с исполнением перед населением всех социальных обязательств.</w:t>
      </w:r>
    </w:p>
    <w:p w:rsidR="00FC7208" w:rsidRPr="00664C6D" w:rsidRDefault="00FA530D" w:rsidP="006A7649">
      <w:pPr>
        <w:spacing w:line="276" w:lineRule="auto"/>
        <w:ind w:firstLine="708"/>
        <w:jc w:val="both"/>
        <w:rPr>
          <w:szCs w:val="24"/>
        </w:rPr>
      </w:pPr>
      <w:r w:rsidRPr="00664C6D">
        <w:rPr>
          <w:b/>
          <w:szCs w:val="24"/>
        </w:rPr>
        <w:t xml:space="preserve">Второй </w:t>
      </w:r>
      <w:r w:rsidR="00FC7208" w:rsidRPr="00664C6D">
        <w:rPr>
          <w:b/>
          <w:szCs w:val="24"/>
        </w:rPr>
        <w:t>(базовый) вариант</w:t>
      </w:r>
      <w:r w:rsidR="00FC7208" w:rsidRPr="00664C6D">
        <w:rPr>
          <w:szCs w:val="24"/>
        </w:rPr>
        <w:t xml:space="preserve"> прогноза рассматривается как основной при составлении проекта решения о бюджете Белоярского района на 20</w:t>
      </w:r>
      <w:r w:rsidRPr="00664C6D">
        <w:rPr>
          <w:szCs w:val="24"/>
        </w:rPr>
        <w:t>20</w:t>
      </w:r>
      <w:r w:rsidR="00FC7208" w:rsidRPr="00664C6D">
        <w:rPr>
          <w:szCs w:val="24"/>
        </w:rPr>
        <w:t xml:space="preserve"> год и плановый период</w:t>
      </w:r>
      <w:r w:rsidR="00BF71FF">
        <w:rPr>
          <w:szCs w:val="24"/>
        </w:rPr>
        <w:t xml:space="preserve"> 2021 и 2022 годов</w:t>
      </w:r>
      <w:r w:rsidR="00FC7208" w:rsidRPr="00664C6D">
        <w:rPr>
          <w:szCs w:val="24"/>
        </w:rPr>
        <w:t>.</w:t>
      </w:r>
    </w:p>
    <w:p w:rsidR="0029298D" w:rsidRPr="00664C6D" w:rsidRDefault="0029298D" w:rsidP="006A7649">
      <w:pPr>
        <w:spacing w:line="276" w:lineRule="auto"/>
        <w:rPr>
          <w:b/>
          <w:szCs w:val="24"/>
        </w:rPr>
      </w:pPr>
    </w:p>
    <w:p w:rsidR="00646371" w:rsidRPr="009A5DDF" w:rsidRDefault="00646371" w:rsidP="006A7649">
      <w:pPr>
        <w:spacing w:line="276" w:lineRule="auto"/>
        <w:ind w:left="-567" w:firstLine="425"/>
        <w:jc w:val="center"/>
        <w:rPr>
          <w:b/>
          <w:szCs w:val="24"/>
        </w:rPr>
      </w:pPr>
      <w:r w:rsidRPr="009A5DDF">
        <w:rPr>
          <w:b/>
          <w:szCs w:val="24"/>
        </w:rPr>
        <w:t>Промышленное производство</w:t>
      </w:r>
    </w:p>
    <w:p w:rsidR="00646371" w:rsidRPr="009A5DDF" w:rsidRDefault="00646371" w:rsidP="006A7649">
      <w:pPr>
        <w:spacing w:line="276" w:lineRule="auto"/>
        <w:ind w:left="-567" w:firstLine="425"/>
        <w:jc w:val="center"/>
        <w:rPr>
          <w:b/>
          <w:szCs w:val="24"/>
        </w:rPr>
      </w:pPr>
    </w:p>
    <w:p w:rsidR="00646371" w:rsidRPr="009A5DDF" w:rsidRDefault="00646371" w:rsidP="006A7649">
      <w:pPr>
        <w:tabs>
          <w:tab w:val="left" w:pos="720"/>
        </w:tabs>
        <w:spacing w:line="276" w:lineRule="auto"/>
        <w:ind w:firstLine="720"/>
        <w:jc w:val="both"/>
        <w:rPr>
          <w:szCs w:val="24"/>
        </w:rPr>
      </w:pPr>
      <w:r w:rsidRPr="009A5DDF">
        <w:rPr>
          <w:szCs w:val="24"/>
        </w:rPr>
        <w:t xml:space="preserve">Объем промышленного производства (по крупным и средним предприятиям) на территории Белоярского района за 2018 год составил 45 888,2 млн. рублей. </w:t>
      </w:r>
      <w:r w:rsidRPr="009A5DDF">
        <w:rPr>
          <w:bCs/>
          <w:szCs w:val="24"/>
        </w:rPr>
        <w:t>Индекс промышленного производства по Белоярскому району составил 119,8%.</w:t>
      </w:r>
    </w:p>
    <w:p w:rsidR="00646371" w:rsidRPr="009A5DDF" w:rsidRDefault="00646371" w:rsidP="006A7649">
      <w:pPr>
        <w:tabs>
          <w:tab w:val="left" w:pos="720"/>
        </w:tabs>
        <w:spacing w:line="276" w:lineRule="auto"/>
        <w:ind w:firstLine="720"/>
        <w:jc w:val="both"/>
        <w:rPr>
          <w:szCs w:val="24"/>
        </w:rPr>
      </w:pPr>
      <w:r w:rsidRPr="009A5DDF">
        <w:rPr>
          <w:szCs w:val="24"/>
        </w:rPr>
        <w:t xml:space="preserve">В 2019 году объем промышленного производства (по крупным и средним предприятиям) по предварительным данным составит 58 264,1 млн. рублей, индекс промышленного производства – 122,9%. Доминирующую роль в развитии промышленности Белоярского района играет нефтедобывающая отрасль. </w:t>
      </w:r>
    </w:p>
    <w:p w:rsidR="00E9683B" w:rsidRDefault="00E9683B" w:rsidP="00F046A2">
      <w:pPr>
        <w:spacing w:line="276" w:lineRule="auto"/>
        <w:rPr>
          <w:szCs w:val="24"/>
        </w:rPr>
      </w:pPr>
    </w:p>
    <w:p w:rsidR="00646371" w:rsidRPr="00BF016C" w:rsidRDefault="00646371" w:rsidP="006A7649">
      <w:pPr>
        <w:spacing w:line="276" w:lineRule="auto"/>
        <w:jc w:val="right"/>
        <w:rPr>
          <w:szCs w:val="24"/>
        </w:rPr>
      </w:pPr>
      <w:r w:rsidRPr="009A5DDF">
        <w:rPr>
          <w:szCs w:val="24"/>
        </w:rPr>
        <w:lastRenderedPageBreak/>
        <w:t>Диаграмма 1</w:t>
      </w:r>
    </w:p>
    <w:p w:rsidR="00646371" w:rsidRPr="00D93506" w:rsidRDefault="00646371" w:rsidP="006A7649">
      <w:pPr>
        <w:spacing w:line="276" w:lineRule="auto"/>
        <w:jc w:val="right"/>
        <w:rPr>
          <w:color w:val="FF0000"/>
          <w:szCs w:val="24"/>
        </w:rPr>
      </w:pPr>
      <w:r>
        <w:rPr>
          <w:noProof/>
        </w:rPr>
        <w:drawing>
          <wp:inline distT="0" distB="0" distL="0" distR="0" wp14:anchorId="30F0FA6C" wp14:editId="27C3D276">
            <wp:extent cx="5943600" cy="33147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6371" w:rsidRPr="00D93506" w:rsidRDefault="00646371" w:rsidP="006A7649">
      <w:pPr>
        <w:spacing w:line="276" w:lineRule="auto"/>
        <w:jc w:val="both"/>
        <w:rPr>
          <w:color w:val="FF0000"/>
          <w:szCs w:val="24"/>
        </w:rPr>
      </w:pPr>
    </w:p>
    <w:p w:rsidR="00646371" w:rsidRPr="00D93506" w:rsidRDefault="00646371" w:rsidP="006A7649">
      <w:pPr>
        <w:spacing w:line="276" w:lineRule="auto"/>
        <w:ind w:firstLine="720"/>
        <w:jc w:val="both"/>
        <w:rPr>
          <w:color w:val="FF0000"/>
          <w:szCs w:val="24"/>
        </w:rPr>
      </w:pPr>
      <w:r w:rsidRPr="00022D73">
        <w:rPr>
          <w:szCs w:val="24"/>
        </w:rPr>
        <w:t>Объем отгруженных товаров промышленного производства в прогнозном периоде 2020-2022 годов по базовому варианту составит от 67 098,4 млн. рублей в 2020 году до            92 642,1 млн. рублей в 2022 году. Ожидается устойчивая среднегодовая динамика прироста промышленного производства в сопоставимых ценах в пределах 13,0% – 14,2%.</w:t>
      </w:r>
    </w:p>
    <w:p w:rsidR="00646371" w:rsidRDefault="00646371" w:rsidP="006A7649">
      <w:pPr>
        <w:spacing w:line="276" w:lineRule="auto"/>
        <w:ind w:firstLine="708"/>
        <w:jc w:val="both"/>
        <w:rPr>
          <w:szCs w:val="24"/>
        </w:rPr>
      </w:pPr>
      <w:r w:rsidRPr="00E15C45">
        <w:rPr>
          <w:szCs w:val="24"/>
        </w:rPr>
        <w:t>По удельному весу в общем  объеме  промышленного производства в оценке 2019 года наибольшую долю занимает сфера добычи полезных ископаемых – 96,0%.</w:t>
      </w:r>
    </w:p>
    <w:p w:rsidR="006A7649" w:rsidRDefault="006A7649" w:rsidP="00F046A2">
      <w:pPr>
        <w:spacing w:line="276" w:lineRule="auto"/>
        <w:rPr>
          <w:szCs w:val="24"/>
        </w:rPr>
      </w:pPr>
    </w:p>
    <w:p w:rsidR="00646371" w:rsidRPr="00E15C45" w:rsidRDefault="00646371" w:rsidP="006A7649">
      <w:pPr>
        <w:spacing w:line="276" w:lineRule="auto"/>
        <w:ind w:firstLine="709"/>
        <w:jc w:val="right"/>
        <w:rPr>
          <w:szCs w:val="24"/>
        </w:rPr>
      </w:pPr>
      <w:r w:rsidRPr="00E15C45">
        <w:rPr>
          <w:szCs w:val="24"/>
        </w:rPr>
        <w:t>Диаграмма 2</w:t>
      </w:r>
    </w:p>
    <w:p w:rsidR="00646371" w:rsidRPr="00E15C45" w:rsidRDefault="00646371" w:rsidP="006A7649">
      <w:pPr>
        <w:spacing w:line="276" w:lineRule="auto"/>
        <w:jc w:val="right"/>
        <w:rPr>
          <w:szCs w:val="24"/>
        </w:rPr>
      </w:pPr>
      <w:r w:rsidRPr="00E15C45">
        <w:rPr>
          <w:noProof/>
        </w:rPr>
        <w:drawing>
          <wp:inline distT="0" distB="0" distL="0" distR="0" wp14:anchorId="1E6DBF74" wp14:editId="73567CA9">
            <wp:extent cx="5943600" cy="315277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6371" w:rsidRPr="00E15C45" w:rsidRDefault="00646371" w:rsidP="006A7649">
      <w:pPr>
        <w:spacing w:line="276" w:lineRule="auto"/>
        <w:ind w:firstLine="709"/>
        <w:jc w:val="both"/>
        <w:rPr>
          <w:szCs w:val="24"/>
        </w:rPr>
      </w:pPr>
      <w:r w:rsidRPr="00E15C45">
        <w:rPr>
          <w:szCs w:val="24"/>
        </w:rPr>
        <w:t xml:space="preserve">На протяжении прогнозируемого периода  2020-2022 годов ожидается сохранение тенденции ведущего положения сферы добычи полезных ископаемых в структуре промышленного производства (96,4% - 97,1%). </w:t>
      </w:r>
    </w:p>
    <w:p w:rsidR="00646371" w:rsidRPr="00D93506" w:rsidRDefault="00646371" w:rsidP="006A7649">
      <w:pPr>
        <w:spacing w:line="276" w:lineRule="auto"/>
        <w:ind w:firstLine="709"/>
        <w:jc w:val="both"/>
        <w:rPr>
          <w:color w:val="FF0000"/>
          <w:szCs w:val="24"/>
        </w:rPr>
      </w:pPr>
    </w:p>
    <w:p w:rsidR="00646371" w:rsidRPr="00C26EAF" w:rsidRDefault="00646371" w:rsidP="006A7649">
      <w:pPr>
        <w:spacing w:line="276" w:lineRule="auto"/>
        <w:ind w:firstLine="709"/>
        <w:jc w:val="both"/>
        <w:rPr>
          <w:b/>
          <w:i/>
          <w:szCs w:val="24"/>
        </w:rPr>
      </w:pPr>
      <w:r w:rsidRPr="00C26EAF">
        <w:rPr>
          <w:b/>
          <w:i/>
          <w:szCs w:val="24"/>
        </w:rPr>
        <w:lastRenderedPageBreak/>
        <w:t>Сфера добычи полезных ископаемых</w:t>
      </w:r>
    </w:p>
    <w:p w:rsidR="00646371" w:rsidRPr="00C26EAF" w:rsidRDefault="00646371" w:rsidP="006A7649">
      <w:pPr>
        <w:tabs>
          <w:tab w:val="left" w:pos="851"/>
        </w:tabs>
        <w:spacing w:line="276" w:lineRule="auto"/>
        <w:ind w:firstLine="709"/>
        <w:jc w:val="both"/>
        <w:rPr>
          <w:bCs/>
          <w:szCs w:val="24"/>
        </w:rPr>
      </w:pPr>
      <w:r w:rsidRPr="00C26EAF">
        <w:rPr>
          <w:szCs w:val="24"/>
        </w:rPr>
        <w:t>Объем отгруженных товаров собственного производства, выполненных работ и услуг собственными силами производителей промышленной продукции  в сфере добычи полезных ископаемых (по крупным и средним предприятиям) за 2018 год составил 43 711,8 млн. рублей, и</w:t>
      </w:r>
      <w:r w:rsidRPr="00C26EAF">
        <w:rPr>
          <w:bCs/>
          <w:szCs w:val="24"/>
        </w:rPr>
        <w:t>ндекс производства – 122,0%; в</w:t>
      </w:r>
      <w:r w:rsidRPr="00C26EAF">
        <w:rPr>
          <w:szCs w:val="24"/>
        </w:rPr>
        <w:t xml:space="preserve"> оценке 2019 года составит 55 934,2 млн. рублей, индекс производства – 124,0%.</w:t>
      </w:r>
      <w:r w:rsidRPr="00C26EAF">
        <w:rPr>
          <w:bCs/>
          <w:szCs w:val="24"/>
        </w:rPr>
        <w:t xml:space="preserve"> </w:t>
      </w:r>
    </w:p>
    <w:p w:rsidR="00646371" w:rsidRPr="00D93506" w:rsidRDefault="00646371" w:rsidP="006A7649">
      <w:pPr>
        <w:spacing w:line="276" w:lineRule="auto"/>
        <w:ind w:firstLine="708"/>
        <w:jc w:val="both"/>
        <w:rPr>
          <w:color w:val="FF0000"/>
          <w:szCs w:val="24"/>
        </w:rPr>
      </w:pPr>
      <w:r w:rsidRPr="00C26EAF">
        <w:rPr>
          <w:bCs/>
          <w:szCs w:val="24"/>
        </w:rPr>
        <w:t xml:space="preserve">За 2018 год объем добычи нефти на территории Белоярского района составил          2 576,6 тыс. тонн, что на 4,6% больше, чем за 2017 год. </w:t>
      </w:r>
      <w:r w:rsidRPr="00C26EAF">
        <w:rPr>
          <w:szCs w:val="24"/>
        </w:rPr>
        <w:t xml:space="preserve">В 2019 году ожидаемый рост объема добычи нефти составит 114,2% или 2 941,5 тыс. </w:t>
      </w:r>
      <w:r w:rsidRPr="00376D6C">
        <w:rPr>
          <w:szCs w:val="24"/>
        </w:rPr>
        <w:t>тонн. В прогнозном периоде 2020-2022 годов объем добычи нефти варьируется от 3 015,2 тыс. тонн в 2020 году до 3 265,2 тыс. тонн в 2022 году, рост к 2019 году составит 102,5%-111,0%.</w:t>
      </w:r>
    </w:p>
    <w:p w:rsidR="00646371" w:rsidRPr="00376D6C" w:rsidRDefault="00646371" w:rsidP="006A7649">
      <w:pPr>
        <w:tabs>
          <w:tab w:val="left" w:pos="851"/>
        </w:tabs>
        <w:spacing w:line="276" w:lineRule="auto"/>
        <w:ind w:firstLine="709"/>
        <w:jc w:val="both"/>
        <w:rPr>
          <w:bCs/>
          <w:szCs w:val="24"/>
        </w:rPr>
      </w:pPr>
      <w:r w:rsidRPr="00376D6C">
        <w:rPr>
          <w:bCs/>
          <w:szCs w:val="24"/>
        </w:rPr>
        <w:t>Добычу нефти на территории Белоярского района осуществляют ПАО «Сургутнефтегаз» и ТПП «РИТЭКБелоярскнефть» ОАО «РИТЭК».</w:t>
      </w:r>
    </w:p>
    <w:p w:rsidR="00646371" w:rsidRDefault="00646371" w:rsidP="006A7649">
      <w:pPr>
        <w:spacing w:line="276" w:lineRule="auto"/>
        <w:ind w:firstLine="708"/>
        <w:jc w:val="both"/>
        <w:rPr>
          <w:bCs/>
          <w:color w:val="FF0000"/>
          <w:szCs w:val="24"/>
        </w:rPr>
      </w:pPr>
      <w:r w:rsidRPr="00376D6C">
        <w:rPr>
          <w:szCs w:val="24"/>
        </w:rPr>
        <w:t xml:space="preserve">Объем добычи нефти ПАО «Сургутнефтегаз» за 2018 год составил 86,4% от всего объема добычи нефти. Сфера деятельности компании охватывает  разведку, обустройство и разработку нефтяных и нефтегазовых месторождений, добычу и реализацию нефти и газа. </w:t>
      </w:r>
      <w:r w:rsidRPr="00DB77EB">
        <w:rPr>
          <w:bCs/>
          <w:szCs w:val="24"/>
        </w:rPr>
        <w:t xml:space="preserve">Компания на территории Белоярского района владеет 7 лицензионными участками на территории Белоярского района. ПАО «Сургутнефтегаз» ввело в промышленную разработку и осуществляет деятельность по добыче сырой нефти на 5 месторождениях: </w:t>
      </w:r>
      <w:proofErr w:type="spellStart"/>
      <w:r w:rsidRPr="00DB77EB">
        <w:rPr>
          <w:bCs/>
          <w:szCs w:val="24"/>
        </w:rPr>
        <w:t>Ватлорском</w:t>
      </w:r>
      <w:proofErr w:type="spellEnd"/>
      <w:r w:rsidRPr="00DB77EB">
        <w:rPr>
          <w:bCs/>
          <w:szCs w:val="24"/>
        </w:rPr>
        <w:t xml:space="preserve">, </w:t>
      </w:r>
      <w:proofErr w:type="spellStart"/>
      <w:r w:rsidRPr="00DB77EB">
        <w:rPr>
          <w:bCs/>
          <w:szCs w:val="24"/>
        </w:rPr>
        <w:t>Суръеганском</w:t>
      </w:r>
      <w:proofErr w:type="spellEnd"/>
      <w:r w:rsidRPr="00DB77EB">
        <w:rPr>
          <w:bCs/>
          <w:szCs w:val="24"/>
        </w:rPr>
        <w:t>, Южно-</w:t>
      </w:r>
      <w:proofErr w:type="spellStart"/>
      <w:r w:rsidRPr="00DB77EB">
        <w:rPr>
          <w:bCs/>
          <w:szCs w:val="24"/>
        </w:rPr>
        <w:t>Ватлорском</w:t>
      </w:r>
      <w:proofErr w:type="spellEnd"/>
      <w:r w:rsidRPr="00DB77EB">
        <w:rPr>
          <w:bCs/>
          <w:szCs w:val="24"/>
        </w:rPr>
        <w:t xml:space="preserve">, </w:t>
      </w:r>
      <w:proofErr w:type="spellStart"/>
      <w:r w:rsidRPr="00DB77EB">
        <w:rPr>
          <w:bCs/>
          <w:szCs w:val="24"/>
        </w:rPr>
        <w:t>Верхнеказымском</w:t>
      </w:r>
      <w:proofErr w:type="spellEnd"/>
      <w:r w:rsidRPr="00DB77EB">
        <w:rPr>
          <w:bCs/>
          <w:szCs w:val="24"/>
        </w:rPr>
        <w:t xml:space="preserve">, </w:t>
      </w:r>
      <w:proofErr w:type="spellStart"/>
      <w:r w:rsidRPr="00DB77EB">
        <w:rPr>
          <w:bCs/>
          <w:szCs w:val="24"/>
        </w:rPr>
        <w:t>им.И.Н.Логачева</w:t>
      </w:r>
      <w:proofErr w:type="spellEnd"/>
      <w:r w:rsidRPr="00DB77EB">
        <w:rPr>
          <w:bCs/>
          <w:szCs w:val="24"/>
        </w:rPr>
        <w:t xml:space="preserve">. В настоящее время продолжается обустройство и расширение месторождений, ведутся поисково-оценочные работы на </w:t>
      </w:r>
      <w:proofErr w:type="spellStart"/>
      <w:r w:rsidRPr="00DB77EB">
        <w:rPr>
          <w:bCs/>
          <w:szCs w:val="24"/>
        </w:rPr>
        <w:t>Ватлорском</w:t>
      </w:r>
      <w:proofErr w:type="spellEnd"/>
      <w:r w:rsidRPr="00DB77EB">
        <w:rPr>
          <w:bCs/>
          <w:szCs w:val="24"/>
        </w:rPr>
        <w:t xml:space="preserve"> и </w:t>
      </w:r>
      <w:proofErr w:type="spellStart"/>
      <w:r w:rsidRPr="00DB77EB">
        <w:rPr>
          <w:bCs/>
          <w:szCs w:val="24"/>
        </w:rPr>
        <w:t>Лунгорском</w:t>
      </w:r>
      <w:proofErr w:type="spellEnd"/>
      <w:r w:rsidRPr="00DB77EB">
        <w:rPr>
          <w:bCs/>
          <w:szCs w:val="24"/>
        </w:rPr>
        <w:t xml:space="preserve"> лицензионных участках, что в перспективе поспособствует увеличению добычи нефти. </w:t>
      </w:r>
    </w:p>
    <w:p w:rsidR="00646371" w:rsidRPr="00376D6C" w:rsidRDefault="00646371" w:rsidP="006A7649">
      <w:pPr>
        <w:spacing w:line="276" w:lineRule="auto"/>
        <w:ind w:firstLine="708"/>
        <w:jc w:val="both"/>
        <w:rPr>
          <w:bCs/>
          <w:szCs w:val="24"/>
        </w:rPr>
      </w:pPr>
      <w:r w:rsidRPr="00376D6C">
        <w:rPr>
          <w:szCs w:val="24"/>
        </w:rPr>
        <w:t xml:space="preserve">Доля ТПП «РИТЭКБелоярскнефть» ОАО «РИТЭК» за 2018 год, соответственно, составила 13,6% общего объема добычи нефти на территории Белоярского района. </w:t>
      </w:r>
      <w:r w:rsidRPr="00376D6C">
        <w:rPr>
          <w:bCs/>
          <w:szCs w:val="24"/>
        </w:rPr>
        <w:t>Компания ежегодно наращивает объемы добычи нефти, используя самые новейшие технологии. Одним из приоритетных проектов компании в части разработки трудноизвлекаемых запасов углеводородного сырья является месторождение имени                    В.Н. Виноградова. Главная задача, которая ставится перед предприятием – наращивание объемов добычи нефти, снижение ее себестоимости путем внедрения инновационных технологий и бережного производства.</w:t>
      </w:r>
      <w:r>
        <w:rPr>
          <w:bCs/>
          <w:szCs w:val="24"/>
        </w:rPr>
        <w:t xml:space="preserve">  В прогнозном периоде 2020-202</w:t>
      </w:r>
      <w:r w:rsidRPr="00376D6C">
        <w:rPr>
          <w:bCs/>
          <w:szCs w:val="24"/>
        </w:rPr>
        <w:t xml:space="preserve"> годов компания планирует увеличивать объемы добычи нефти в результате ввода в эксплуатацию новых нефтяных скважин. </w:t>
      </w:r>
    </w:p>
    <w:p w:rsidR="00646371" w:rsidRPr="00376D6C" w:rsidRDefault="00646371" w:rsidP="006A7649">
      <w:pPr>
        <w:spacing w:line="276" w:lineRule="auto"/>
        <w:ind w:firstLine="708"/>
        <w:jc w:val="both"/>
        <w:rPr>
          <w:szCs w:val="24"/>
        </w:rPr>
      </w:pPr>
      <w:r w:rsidRPr="00376D6C">
        <w:rPr>
          <w:szCs w:val="24"/>
        </w:rPr>
        <w:t xml:space="preserve">Ежегодно в рамках социального партнерства между администрацией Белоярского района и предприятиями ТЭК заключаются соглашения о социально-экономическом сотрудничестве. </w:t>
      </w:r>
    </w:p>
    <w:p w:rsidR="00646371" w:rsidRPr="00D93506" w:rsidRDefault="00646371" w:rsidP="006A7649">
      <w:pPr>
        <w:spacing w:line="276" w:lineRule="auto"/>
        <w:ind w:firstLine="709"/>
        <w:rPr>
          <w:b/>
          <w:i/>
          <w:color w:val="FF0000"/>
          <w:szCs w:val="24"/>
        </w:rPr>
      </w:pPr>
    </w:p>
    <w:p w:rsidR="00646371" w:rsidRPr="00703180" w:rsidRDefault="00646371" w:rsidP="006A7649">
      <w:pPr>
        <w:spacing w:line="276" w:lineRule="auto"/>
        <w:ind w:firstLine="709"/>
        <w:rPr>
          <w:b/>
          <w:i/>
          <w:szCs w:val="24"/>
        </w:rPr>
      </w:pPr>
      <w:r w:rsidRPr="00703180">
        <w:rPr>
          <w:b/>
          <w:i/>
          <w:szCs w:val="24"/>
        </w:rPr>
        <w:t>Сфера обрабатывающих производств</w:t>
      </w:r>
    </w:p>
    <w:p w:rsidR="00646371" w:rsidRPr="00703180" w:rsidRDefault="00646371" w:rsidP="006A7649">
      <w:pPr>
        <w:spacing w:line="276" w:lineRule="auto"/>
        <w:ind w:firstLine="709"/>
        <w:jc w:val="both"/>
        <w:rPr>
          <w:szCs w:val="24"/>
        </w:rPr>
      </w:pPr>
      <w:r w:rsidRPr="00703180">
        <w:rPr>
          <w:szCs w:val="24"/>
        </w:rPr>
        <w:t xml:space="preserve">Объем отгруженных товаров собственного производства, выполненных работ и услуг собственными силами производителей промышленной продукции в сфере обрабатывающих производств за 2018 год составил 1 011,9 млн. рублей. Индекс производства составил 84,7% в сопоставимых ценах к 2017 году. </w:t>
      </w:r>
    </w:p>
    <w:p w:rsidR="00646371" w:rsidRDefault="00646371" w:rsidP="006A7649">
      <w:pPr>
        <w:spacing w:line="276" w:lineRule="auto"/>
        <w:ind w:firstLine="709"/>
        <w:jc w:val="both"/>
        <w:rPr>
          <w:szCs w:val="24"/>
        </w:rPr>
      </w:pPr>
      <w:r w:rsidRPr="00703180">
        <w:rPr>
          <w:szCs w:val="24"/>
        </w:rPr>
        <w:t>В оценке 2019 года объем обрабатывающих производств составит 1 108,4 млн. рублей, индекс производства – 104,2% в сопоставимых ценах к 2018 году. Структура обрабатывающих производств в оценке 2019 года представлена следующим образом:</w:t>
      </w:r>
    </w:p>
    <w:p w:rsidR="00BF016C" w:rsidRPr="00703180" w:rsidRDefault="00BF016C" w:rsidP="006A7649">
      <w:pPr>
        <w:spacing w:line="276" w:lineRule="auto"/>
        <w:ind w:firstLine="709"/>
        <w:jc w:val="both"/>
        <w:rPr>
          <w:szCs w:val="24"/>
        </w:rPr>
      </w:pPr>
    </w:p>
    <w:p w:rsidR="00646371" w:rsidRPr="00703180" w:rsidRDefault="00646371" w:rsidP="006A7649">
      <w:pPr>
        <w:spacing w:line="276" w:lineRule="auto"/>
        <w:ind w:firstLine="720"/>
        <w:jc w:val="right"/>
        <w:rPr>
          <w:szCs w:val="24"/>
        </w:rPr>
      </w:pPr>
      <w:r w:rsidRPr="00703180">
        <w:rPr>
          <w:szCs w:val="24"/>
        </w:rPr>
        <w:lastRenderedPageBreak/>
        <w:t>Диаграмма 3</w:t>
      </w:r>
    </w:p>
    <w:p w:rsidR="00646371" w:rsidRPr="00D93506" w:rsidRDefault="00646371" w:rsidP="006A7649">
      <w:pPr>
        <w:spacing w:line="276" w:lineRule="auto"/>
        <w:jc w:val="right"/>
        <w:rPr>
          <w:color w:val="FF0000"/>
          <w:szCs w:val="24"/>
        </w:rPr>
      </w:pPr>
      <w:r w:rsidRPr="00D93506">
        <w:rPr>
          <w:noProof/>
          <w:color w:val="FF0000"/>
        </w:rPr>
        <w:drawing>
          <wp:inline distT="0" distB="0" distL="0" distR="0" wp14:anchorId="57F95016" wp14:editId="12823D07">
            <wp:extent cx="5943600" cy="3228975"/>
            <wp:effectExtent l="0" t="0" r="190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6371" w:rsidRPr="00D93506" w:rsidRDefault="00646371" w:rsidP="006A7649">
      <w:pPr>
        <w:spacing w:line="276" w:lineRule="auto"/>
        <w:jc w:val="right"/>
        <w:rPr>
          <w:color w:val="FF0000"/>
          <w:szCs w:val="24"/>
        </w:rPr>
      </w:pPr>
    </w:p>
    <w:p w:rsidR="00646371" w:rsidRPr="00703180" w:rsidRDefault="00646371" w:rsidP="006A7649">
      <w:pPr>
        <w:spacing w:line="276" w:lineRule="auto"/>
        <w:ind w:firstLine="709"/>
        <w:jc w:val="both"/>
        <w:rPr>
          <w:szCs w:val="24"/>
        </w:rPr>
      </w:pPr>
      <w:r w:rsidRPr="00703180">
        <w:rPr>
          <w:szCs w:val="24"/>
        </w:rPr>
        <w:t>Наибольший удельный вес в обрабатывающем производстве в оценке 2019 года приходится на отрасль ремонта и монтажа машин и оборудования (90,6%), за счет которой и ожидается рост объема обрабатывающих произво</w:t>
      </w:r>
      <w:proofErr w:type="gramStart"/>
      <w:r w:rsidRPr="00703180">
        <w:rPr>
          <w:szCs w:val="24"/>
        </w:rPr>
        <w:t>дств в ц</w:t>
      </w:r>
      <w:proofErr w:type="gramEnd"/>
      <w:r w:rsidRPr="00703180">
        <w:rPr>
          <w:szCs w:val="24"/>
        </w:rPr>
        <w:t>елом.</w:t>
      </w:r>
    </w:p>
    <w:p w:rsidR="00646371" w:rsidRPr="00647399" w:rsidRDefault="00646371" w:rsidP="006A7649">
      <w:pPr>
        <w:spacing w:line="276" w:lineRule="auto"/>
        <w:ind w:firstLine="709"/>
        <w:jc w:val="both"/>
        <w:rPr>
          <w:szCs w:val="24"/>
        </w:rPr>
      </w:pPr>
      <w:r w:rsidRPr="00703180">
        <w:rPr>
          <w:szCs w:val="24"/>
        </w:rPr>
        <w:t xml:space="preserve">Деятельность по данному виду производства на территории Белоярского района представляет производственно-техническое управление «Казымгазремонт» филиала «Югорский»  ДОАО «Центрэнергогаз». Основная деятельность заключается в ремонте и наладке </w:t>
      </w:r>
      <w:proofErr w:type="spellStart"/>
      <w:r w:rsidRPr="00703180">
        <w:rPr>
          <w:szCs w:val="24"/>
        </w:rPr>
        <w:t>энергомеханического</w:t>
      </w:r>
      <w:proofErr w:type="spellEnd"/>
      <w:r w:rsidRPr="00703180">
        <w:rPr>
          <w:szCs w:val="24"/>
        </w:rPr>
        <w:t xml:space="preserve"> оборудования в городе Белоярский и в трассовых поселках </w:t>
      </w:r>
      <w:r w:rsidRPr="00D7426B">
        <w:rPr>
          <w:szCs w:val="24"/>
        </w:rPr>
        <w:t xml:space="preserve">Белоярского района. В оценке 2019 года ожидаемый объем отгруженных товаров собственного производства, выполненных работ и услуг собственными силами в данной сфере за счет увеличения выполняемых работ составит 1 004,4 млн. руб., индекс производства – 104,6% в сопоставимых ценах к 2018 году. В 2020-2022 годах </w:t>
      </w:r>
      <w:proofErr w:type="gramStart"/>
      <w:r w:rsidRPr="00647399">
        <w:rPr>
          <w:szCs w:val="24"/>
        </w:rPr>
        <w:t>прогнозируемы</w:t>
      </w:r>
      <w:r w:rsidRPr="00647399">
        <w:rPr>
          <w:szCs w:val="24"/>
        </w:rPr>
        <w:tab/>
        <w:t>й</w:t>
      </w:r>
      <w:proofErr w:type="gramEnd"/>
      <w:r w:rsidRPr="00647399">
        <w:rPr>
          <w:szCs w:val="24"/>
        </w:rPr>
        <w:t xml:space="preserve"> индекс производства в базовой вариации составит 100,8% в год.</w:t>
      </w:r>
    </w:p>
    <w:p w:rsidR="00646371" w:rsidRPr="00647399" w:rsidRDefault="00646371" w:rsidP="006A7649">
      <w:pPr>
        <w:spacing w:line="276" w:lineRule="auto"/>
        <w:ind w:firstLine="709"/>
        <w:jc w:val="both"/>
        <w:rPr>
          <w:szCs w:val="24"/>
        </w:rPr>
      </w:pPr>
      <w:r w:rsidRPr="00647399">
        <w:rPr>
          <w:szCs w:val="24"/>
        </w:rPr>
        <w:t>Немаловажную роль в сфере обрабатывающих производств играет пищевая промышленность (8,7%). На территории Белоярского района данную отрасль представляют предприятия ООО СП «Белоярское» (производство мяса и пищевых субпродуктов крупного рогатого скота, сыров, молока, творога, йогуртов, морса и джема), унитарное муниципальное предприятие «Городской центр торговли» (производство хлеба и хлебобулочных изделий), а также субъекты малого предпринимательства.</w:t>
      </w:r>
    </w:p>
    <w:p w:rsidR="00646371" w:rsidRPr="00647399" w:rsidRDefault="00646371" w:rsidP="006A7649">
      <w:pPr>
        <w:spacing w:line="276" w:lineRule="auto"/>
        <w:ind w:firstLine="709"/>
        <w:jc w:val="both"/>
        <w:rPr>
          <w:szCs w:val="24"/>
        </w:rPr>
      </w:pPr>
      <w:r w:rsidRPr="00647399">
        <w:rPr>
          <w:szCs w:val="24"/>
        </w:rPr>
        <w:t>В оценочном 2019 году объем производства пищевых продуктов составит 97,1 млн. рублей, индекс производства – 100,2% к уровню 2018 года. В прогнозе на 2020-2022 годы по базовому варианту индекс производства закладывается на уровне 100,2-100,5%.</w:t>
      </w:r>
    </w:p>
    <w:p w:rsidR="00646371" w:rsidRPr="00D93506" w:rsidRDefault="00646371" w:rsidP="006A7649">
      <w:pPr>
        <w:spacing w:line="276" w:lineRule="auto"/>
        <w:ind w:firstLine="720"/>
        <w:jc w:val="both"/>
        <w:rPr>
          <w:color w:val="FF0000"/>
          <w:szCs w:val="24"/>
        </w:rPr>
      </w:pPr>
      <w:r w:rsidRPr="00647399">
        <w:rPr>
          <w:szCs w:val="24"/>
        </w:rPr>
        <w:t>Деятельность полиграфическую (0,3% обрабатывающих производств) на территории Белоярского района осуществляет АУ Белоярского района «Белоярский информационный центр «Квадрат». В оценке 2019 года ожидаемый объем собственного производства, выполненных работ и услуг собственными силами предприятия составит 3,0 млн. рублей, индекс производства – 105,0% в сопоставимых ценах к 2018 году. В прогнозе н</w:t>
      </w:r>
      <w:r w:rsidRPr="007F5702">
        <w:rPr>
          <w:szCs w:val="24"/>
        </w:rPr>
        <w:t>а 2020-2022 годы индекс производства закладывается на уровне 101,5%-102,1%.</w:t>
      </w:r>
    </w:p>
    <w:p w:rsidR="00646371" w:rsidRPr="007F5702" w:rsidRDefault="00646371" w:rsidP="006A7649">
      <w:pPr>
        <w:spacing w:line="276" w:lineRule="auto"/>
        <w:ind w:firstLine="720"/>
        <w:jc w:val="both"/>
        <w:rPr>
          <w:szCs w:val="24"/>
        </w:rPr>
      </w:pPr>
      <w:r w:rsidRPr="00703180">
        <w:rPr>
          <w:szCs w:val="24"/>
        </w:rPr>
        <w:lastRenderedPageBreak/>
        <w:t>Сферу производства прочей неметаллическо</w:t>
      </w:r>
      <w:r>
        <w:rPr>
          <w:szCs w:val="24"/>
        </w:rPr>
        <w:t>й продукции (0,3</w:t>
      </w:r>
      <w:r w:rsidRPr="00703180">
        <w:rPr>
          <w:szCs w:val="24"/>
        </w:rPr>
        <w:t xml:space="preserve">% в общем объеме обрабатывающих производств) представляют унитарное муниципальное предприятие «Управление производственно – технической комплектации» (производство тротуарной плитки, бордюрных камней, бетонных </w:t>
      </w:r>
      <w:r w:rsidRPr="007F5702">
        <w:rPr>
          <w:szCs w:val="24"/>
        </w:rPr>
        <w:t>кирпичей, блоков и прочих строительных материалов).</w:t>
      </w:r>
    </w:p>
    <w:p w:rsidR="00646371" w:rsidRPr="00D93506" w:rsidRDefault="00646371" w:rsidP="006A7649">
      <w:pPr>
        <w:spacing w:line="276" w:lineRule="auto"/>
        <w:ind w:firstLine="709"/>
        <w:jc w:val="both"/>
        <w:rPr>
          <w:color w:val="FF0000"/>
          <w:szCs w:val="24"/>
        </w:rPr>
      </w:pPr>
      <w:r w:rsidRPr="007F5702">
        <w:rPr>
          <w:szCs w:val="24"/>
        </w:rPr>
        <w:t xml:space="preserve"> Выполнение работ в данной сфере связано с благоустройством города, трассовых поселков, национальных сел и деревень в границах Белоярского района. В оценке на 2019 год показатель объема промышленного производства прочей неметаллической минеральной продукции по базовому варианту составит 3,7 млн. рублей, индекс производства – 101,2% по отношению к 2018 году. В 2020-2022 годах индекс производства по базовому варианту прогноза закладывается на уровне 100,5%-101,3%.</w:t>
      </w:r>
    </w:p>
    <w:p w:rsidR="00646371" w:rsidRPr="00703180" w:rsidRDefault="00646371" w:rsidP="006A7649">
      <w:pPr>
        <w:spacing w:line="276" w:lineRule="auto"/>
        <w:ind w:firstLine="720"/>
        <w:jc w:val="both"/>
        <w:rPr>
          <w:szCs w:val="24"/>
        </w:rPr>
      </w:pPr>
      <w:r w:rsidRPr="00703180">
        <w:rPr>
          <w:szCs w:val="24"/>
        </w:rPr>
        <w:t>К прочим производствам (0,1% объема обрабатывающих производств) можно отнести: производство изделий из кожи; производство химических веществ.</w:t>
      </w:r>
    </w:p>
    <w:p w:rsidR="00646371" w:rsidRPr="00D93506" w:rsidRDefault="00646371" w:rsidP="006A7649">
      <w:pPr>
        <w:spacing w:line="276" w:lineRule="auto"/>
        <w:ind w:firstLine="709"/>
        <w:jc w:val="both"/>
        <w:textAlignment w:val="baseline"/>
        <w:outlineLvl w:val="2"/>
        <w:rPr>
          <w:color w:val="FF0000"/>
          <w:szCs w:val="24"/>
        </w:rPr>
      </w:pPr>
      <w:proofErr w:type="gramStart"/>
      <w:r w:rsidRPr="00465FD1">
        <w:rPr>
          <w:szCs w:val="24"/>
        </w:rPr>
        <w:t xml:space="preserve">В прогнозный период 2020-2022 годов объемы промышленной продукции обрабатывающих производств в действующих ценах по базовому варианту варьируются от 1 171,1 млн. рублей в 2020 году до 1 311,3 млн. рублей в 2022 году, индекс производства – от 100,7% в 2020 году до 100,8% в 2022 году.  </w:t>
      </w:r>
      <w:proofErr w:type="gramEnd"/>
    </w:p>
    <w:p w:rsidR="00646371" w:rsidRPr="00D93506" w:rsidRDefault="00646371" w:rsidP="006A7649">
      <w:pPr>
        <w:spacing w:line="276" w:lineRule="auto"/>
        <w:rPr>
          <w:b/>
          <w:i/>
          <w:color w:val="FF0000"/>
          <w:szCs w:val="24"/>
        </w:rPr>
      </w:pPr>
    </w:p>
    <w:p w:rsidR="00646371" w:rsidRPr="00703180" w:rsidRDefault="00646371" w:rsidP="006A7649">
      <w:pPr>
        <w:spacing w:line="276" w:lineRule="auto"/>
        <w:ind w:firstLine="709"/>
        <w:rPr>
          <w:b/>
          <w:i/>
          <w:szCs w:val="24"/>
        </w:rPr>
      </w:pPr>
      <w:r w:rsidRPr="00703180">
        <w:rPr>
          <w:b/>
          <w:i/>
          <w:szCs w:val="24"/>
        </w:rPr>
        <w:t>Сфера обеспечения электрической энергией, газом и паром; кондиционирования воздуха</w:t>
      </w:r>
    </w:p>
    <w:p w:rsidR="00646371" w:rsidRPr="00703180" w:rsidRDefault="00646371" w:rsidP="006A7649">
      <w:pPr>
        <w:spacing w:line="276" w:lineRule="auto"/>
        <w:ind w:firstLine="709"/>
        <w:jc w:val="both"/>
        <w:rPr>
          <w:szCs w:val="24"/>
        </w:rPr>
      </w:pPr>
      <w:r w:rsidRPr="00703180">
        <w:rPr>
          <w:szCs w:val="24"/>
        </w:rPr>
        <w:t>Объем отгруженных товаров, выполненных работ и услуг на предприятиях по обеспечению электрической энергией, газом и паром за 2018 год составил 1 021,5 млн. рублей при индексе производства 97,6% в сопоставимых ценах к 2017 году.</w:t>
      </w:r>
    </w:p>
    <w:p w:rsidR="00646371" w:rsidRPr="00D93506" w:rsidRDefault="00646371" w:rsidP="006A7649">
      <w:pPr>
        <w:spacing w:line="276" w:lineRule="auto"/>
        <w:ind w:firstLine="709"/>
        <w:jc w:val="both"/>
        <w:rPr>
          <w:color w:val="FF0000"/>
          <w:szCs w:val="24"/>
        </w:rPr>
      </w:pPr>
      <w:r w:rsidRPr="00703180">
        <w:rPr>
          <w:szCs w:val="24"/>
        </w:rPr>
        <w:t xml:space="preserve">В 2019 году объем отгруженных товаров собственного </w:t>
      </w:r>
      <w:r w:rsidRPr="006B234B">
        <w:rPr>
          <w:szCs w:val="24"/>
        </w:rPr>
        <w:t>производства, выполненных работ и услуг собственными силами в данной отрасли по предварительной оценке составит 1 072,1 млн. рублей (1,8% от общего объема промышленного производства), индекс производства – 100,7% в сопоставимых ценах к 2018 году. В прогнозный период 2020-2022 годов объем отгруженных товаров, выполненных работ и услуг по базовому варианту прогноза составит 1 118,3 млн. рублей – 1 219,3 млн. рублей, индекс производства закладывается на уровне 100,2% - 100,4%.</w:t>
      </w:r>
    </w:p>
    <w:p w:rsidR="00646371" w:rsidRPr="006B234B" w:rsidRDefault="00646371" w:rsidP="006A7649">
      <w:pPr>
        <w:spacing w:line="276" w:lineRule="auto"/>
        <w:ind w:firstLine="720"/>
        <w:jc w:val="both"/>
        <w:rPr>
          <w:szCs w:val="24"/>
        </w:rPr>
      </w:pPr>
      <w:r w:rsidRPr="006B234B">
        <w:rPr>
          <w:szCs w:val="24"/>
        </w:rPr>
        <w:t>Производство электроэнергии  на территории Белоярского района  осуществляют ПАО энергетики и электрификации «Передвижная энергетика» филиал «ПЭС «Казым», «Казымское ЛПУ МГ», «</w:t>
      </w:r>
      <w:proofErr w:type="spellStart"/>
      <w:r w:rsidRPr="006B234B">
        <w:rPr>
          <w:szCs w:val="24"/>
        </w:rPr>
        <w:t>Верхнеказымское</w:t>
      </w:r>
      <w:proofErr w:type="spellEnd"/>
      <w:r w:rsidRPr="006B234B">
        <w:rPr>
          <w:szCs w:val="24"/>
        </w:rPr>
        <w:t xml:space="preserve"> ЛПУ МГ», «Сосновское ЛПУ МГ», «Сорумское ЛПУ МГ», «Бобровское ЛПУ МГ» ООО «Газпром трансгаз Югорск».</w:t>
      </w:r>
    </w:p>
    <w:p w:rsidR="00646371" w:rsidRPr="006B234B" w:rsidRDefault="00646371" w:rsidP="006A7649">
      <w:pPr>
        <w:spacing w:line="276" w:lineRule="auto"/>
        <w:ind w:firstLine="720"/>
        <w:jc w:val="both"/>
        <w:rPr>
          <w:szCs w:val="24"/>
        </w:rPr>
      </w:pPr>
      <w:r w:rsidRPr="006B234B">
        <w:rPr>
          <w:szCs w:val="24"/>
        </w:rPr>
        <w:t xml:space="preserve">Обеспечение  электроснабжением города Белоярский и поселков Белоярского района осуществляет АО «Газпром </w:t>
      </w:r>
      <w:proofErr w:type="spellStart"/>
      <w:r w:rsidRPr="006B234B">
        <w:rPr>
          <w:szCs w:val="24"/>
        </w:rPr>
        <w:t>энергосбыт</w:t>
      </w:r>
      <w:proofErr w:type="spellEnd"/>
      <w:r w:rsidRPr="006B234B">
        <w:rPr>
          <w:szCs w:val="24"/>
        </w:rPr>
        <w:t xml:space="preserve"> Тюмень». </w:t>
      </w:r>
    </w:p>
    <w:p w:rsidR="00646371" w:rsidRPr="006B234B" w:rsidRDefault="00646371" w:rsidP="006A7649">
      <w:pPr>
        <w:spacing w:line="276" w:lineRule="auto"/>
        <w:ind w:firstLine="720"/>
        <w:jc w:val="both"/>
        <w:rPr>
          <w:szCs w:val="24"/>
        </w:rPr>
      </w:pPr>
      <w:r w:rsidRPr="006B234B">
        <w:rPr>
          <w:szCs w:val="24"/>
        </w:rPr>
        <w:t>Поставку газа на территории Белоярского района осуществляет АО «Газпром межрегионгаз Север». Эксплуатацию газораспределительных сетей, а также техническое обслуживание внутридомового газового оборудования  осуществляет Белоярский ПЭУ Северного треста филиала в ХМАО-Югре АО «Газпром газораспределение Север».</w:t>
      </w:r>
    </w:p>
    <w:p w:rsidR="00646371" w:rsidRPr="006B234B" w:rsidRDefault="00646371" w:rsidP="006A7649">
      <w:pPr>
        <w:spacing w:line="276" w:lineRule="auto"/>
        <w:ind w:firstLine="709"/>
        <w:rPr>
          <w:b/>
          <w:i/>
          <w:szCs w:val="24"/>
        </w:rPr>
      </w:pPr>
    </w:p>
    <w:p w:rsidR="00646371" w:rsidRPr="006B234B" w:rsidRDefault="00646371" w:rsidP="006A7649">
      <w:pPr>
        <w:spacing w:line="276" w:lineRule="auto"/>
        <w:ind w:firstLine="709"/>
        <w:jc w:val="both"/>
        <w:rPr>
          <w:b/>
          <w:i/>
          <w:szCs w:val="24"/>
        </w:rPr>
      </w:pPr>
      <w:r w:rsidRPr="006B234B">
        <w:rPr>
          <w:b/>
          <w:i/>
          <w:szCs w:val="24"/>
        </w:rPr>
        <w:t>Сфера водоснабжения; водоотведения, организации сбора и утилизации отходов, деятельности по ликвидации загрязнений</w:t>
      </w:r>
    </w:p>
    <w:p w:rsidR="00646371" w:rsidRPr="006B234B" w:rsidRDefault="00646371" w:rsidP="006A7649">
      <w:pPr>
        <w:spacing w:line="276" w:lineRule="auto"/>
        <w:ind w:firstLine="709"/>
        <w:jc w:val="both"/>
        <w:rPr>
          <w:szCs w:val="24"/>
        </w:rPr>
      </w:pPr>
      <w:r w:rsidRPr="006B234B">
        <w:rPr>
          <w:szCs w:val="24"/>
        </w:rPr>
        <w:t xml:space="preserve">Объем отгруженных товаров, выполненных работ и услуг в сфере водоснабжения; водоотведения, организации сбора и утилизации отходов, деятельности по ликвидации </w:t>
      </w:r>
      <w:r w:rsidRPr="006B234B">
        <w:rPr>
          <w:szCs w:val="24"/>
        </w:rPr>
        <w:lastRenderedPageBreak/>
        <w:t>загрязнений за 2018 год составил 142,9 млн. рублей при индексе производства 97,7% в сопоставимых ценах по отношению к 2017 году.</w:t>
      </w:r>
    </w:p>
    <w:p w:rsidR="00646371" w:rsidRPr="00D93506" w:rsidRDefault="00646371" w:rsidP="006A7649">
      <w:pPr>
        <w:spacing w:line="276" w:lineRule="auto"/>
        <w:ind w:firstLine="709"/>
        <w:jc w:val="both"/>
        <w:rPr>
          <w:color w:val="FF0000"/>
          <w:szCs w:val="24"/>
        </w:rPr>
      </w:pPr>
      <w:r w:rsidRPr="006B234B">
        <w:rPr>
          <w:szCs w:val="24"/>
        </w:rPr>
        <w:t>В оценке 2019 года объем отгруженных товаров, выполненных работ и услуг в указанной отрасли составит 149,2 млн. рублей, индекс производства – 98,1% в сопоставимых ценах к 2018 году. Ожидаемое уменьшение объема производства объясняется изменением системы обращения с твердыми коммунальными отходами и снижением тарифов по ТКО.</w:t>
      </w:r>
    </w:p>
    <w:p w:rsidR="00646371" w:rsidRPr="006B234B" w:rsidRDefault="00646371" w:rsidP="006A7649">
      <w:pPr>
        <w:spacing w:line="276" w:lineRule="auto"/>
        <w:ind w:firstLine="720"/>
        <w:jc w:val="both"/>
        <w:rPr>
          <w:szCs w:val="24"/>
        </w:rPr>
      </w:pPr>
      <w:r w:rsidRPr="006B234B">
        <w:rPr>
          <w:szCs w:val="24"/>
        </w:rPr>
        <w:t>Основным поставщиком питьевой воды в городе Белоярский, селах Казым и Полноват является   предприятие АО «ЮКЭК-Белоярский». Забор  воды  в городе Белоярский осуществляется из поверхностного источника – р. Казым, в селах Казым и Полноват  источником питьевой  воды  являются  подземные  воды. В трассовых  поселках Верхнеказымский, Лыхма, Сорум и Сосновка услуги водоснабжения и водоотведения оказывают линейно-производственные управления магистральных газопроводов ООО «Газпром трансгаз Югорск».</w:t>
      </w:r>
    </w:p>
    <w:p w:rsidR="00646371" w:rsidRPr="00D93506" w:rsidRDefault="00646371" w:rsidP="006A7649">
      <w:pPr>
        <w:spacing w:line="276" w:lineRule="auto"/>
        <w:ind w:firstLine="720"/>
        <w:jc w:val="both"/>
        <w:rPr>
          <w:color w:val="FF0000"/>
          <w:szCs w:val="24"/>
        </w:rPr>
      </w:pPr>
      <w:r w:rsidRPr="006B234B">
        <w:rPr>
          <w:szCs w:val="24"/>
        </w:rPr>
        <w:t>В прогнозный период 2020-2022 годов объем отгруженных товаров, выполненных работ и услуг в сфере водоснабжения; водоотведения, организации сбора и утилизации отходов, деятельности по ликвидации загрязнений по базовому варианту прогноза составит 142,7 млн. рублей – 154,3 млн. рублей, индекс производства закладывается на уровне 91,7%-100,0%.</w:t>
      </w:r>
    </w:p>
    <w:p w:rsidR="00226D8B" w:rsidRPr="00D93506" w:rsidRDefault="00226D8B" w:rsidP="006A7649">
      <w:pPr>
        <w:spacing w:line="276" w:lineRule="auto"/>
        <w:ind w:firstLine="425"/>
        <w:jc w:val="both"/>
        <w:rPr>
          <w:color w:val="FF0000"/>
          <w:szCs w:val="24"/>
        </w:rPr>
      </w:pPr>
    </w:p>
    <w:p w:rsidR="00646371" w:rsidRPr="0046058F" w:rsidRDefault="00646371" w:rsidP="006A7649">
      <w:pPr>
        <w:spacing w:line="276" w:lineRule="auto"/>
        <w:ind w:firstLine="709"/>
        <w:jc w:val="both"/>
        <w:rPr>
          <w:b/>
          <w:i/>
          <w:szCs w:val="24"/>
        </w:rPr>
      </w:pPr>
      <w:r w:rsidRPr="0046058F">
        <w:rPr>
          <w:b/>
          <w:i/>
          <w:szCs w:val="24"/>
        </w:rPr>
        <w:t>Сельское хозяйство</w:t>
      </w:r>
    </w:p>
    <w:p w:rsidR="00646371" w:rsidRPr="0046058F" w:rsidRDefault="00646371" w:rsidP="006A7649">
      <w:pPr>
        <w:spacing w:line="276" w:lineRule="auto"/>
        <w:ind w:firstLine="709"/>
        <w:jc w:val="both"/>
        <w:rPr>
          <w:szCs w:val="24"/>
        </w:rPr>
      </w:pPr>
      <w:r w:rsidRPr="0046058F">
        <w:rPr>
          <w:szCs w:val="24"/>
        </w:rPr>
        <w:t>В сфере агропромышленного комплекса на территории Белоярского района успешно работа</w:t>
      </w:r>
      <w:r>
        <w:rPr>
          <w:szCs w:val="24"/>
        </w:rPr>
        <w:t>ю</w:t>
      </w:r>
      <w:r w:rsidRPr="0046058F">
        <w:rPr>
          <w:szCs w:val="24"/>
        </w:rPr>
        <w:t>т предприяти</w:t>
      </w:r>
      <w:r>
        <w:rPr>
          <w:szCs w:val="24"/>
        </w:rPr>
        <w:t>я</w:t>
      </w:r>
      <w:r w:rsidRPr="0046058F">
        <w:rPr>
          <w:szCs w:val="24"/>
        </w:rPr>
        <w:t xml:space="preserve"> различных форм собственности и крестьянски</w:t>
      </w:r>
      <w:r>
        <w:rPr>
          <w:szCs w:val="24"/>
        </w:rPr>
        <w:t>е</w:t>
      </w:r>
      <w:r w:rsidRPr="0046058F">
        <w:rPr>
          <w:szCs w:val="24"/>
        </w:rPr>
        <w:t xml:space="preserve"> (фермерски</w:t>
      </w:r>
      <w:r>
        <w:rPr>
          <w:szCs w:val="24"/>
        </w:rPr>
        <w:t>е</w:t>
      </w:r>
      <w:r w:rsidRPr="0046058F">
        <w:rPr>
          <w:szCs w:val="24"/>
        </w:rPr>
        <w:t>) хозяйств</w:t>
      </w:r>
      <w:r>
        <w:rPr>
          <w:szCs w:val="24"/>
        </w:rPr>
        <w:t>а</w:t>
      </w:r>
      <w:r w:rsidRPr="0046058F">
        <w:rPr>
          <w:szCs w:val="24"/>
        </w:rPr>
        <w:t xml:space="preserve">. Сельскохозяйственным производством и рыбным промыслом на постоянной основе занято более 200 человек. </w:t>
      </w:r>
    </w:p>
    <w:p w:rsidR="00646371" w:rsidRPr="0046058F" w:rsidRDefault="00646371" w:rsidP="006A7649">
      <w:pPr>
        <w:spacing w:line="276" w:lineRule="auto"/>
        <w:ind w:firstLine="709"/>
        <w:jc w:val="both"/>
        <w:rPr>
          <w:szCs w:val="24"/>
        </w:rPr>
      </w:pPr>
      <w:r w:rsidRPr="0046058F">
        <w:rPr>
          <w:szCs w:val="24"/>
        </w:rPr>
        <w:t>Основным направлением деятельности сельскохозяйственных предприятий Белоярского района является животноводство (мясомолочное скотоводство, птицеводство, оленеводство), а также промышленное рыболовство. Основную долю сельскохозяйственного рынка в животноводческой отрасли на территории Белоярского района занимают ООО СП «Белоярское» (производство молока, молочной продукции, мяса, изделий из мяса, яйца) и АО «Казымская оленеводческая компания» (крупнейшее в округе сельскохозяйственное предприятие, занимающееся традиционным хозяйствованием: оленеводством, клеточным звероводством). Сельскохозяйственным производством занимаются также субъекты малого предпринимательства.</w:t>
      </w:r>
    </w:p>
    <w:p w:rsidR="00646371" w:rsidRPr="00D93506" w:rsidRDefault="00646371" w:rsidP="006A7649">
      <w:pPr>
        <w:widowControl w:val="0"/>
        <w:autoSpaceDE w:val="0"/>
        <w:autoSpaceDN w:val="0"/>
        <w:adjustRightInd w:val="0"/>
        <w:spacing w:line="276" w:lineRule="auto"/>
        <w:ind w:firstLine="720"/>
        <w:jc w:val="both"/>
        <w:rPr>
          <w:color w:val="FF0000"/>
          <w:szCs w:val="24"/>
        </w:rPr>
      </w:pPr>
      <w:r w:rsidRPr="006B234B">
        <w:rPr>
          <w:szCs w:val="24"/>
        </w:rPr>
        <w:t xml:space="preserve">В 2019 году производство сельхозпродукции животноводства во всех категориях хозяйств оценочно составит: производство мяса – 265 тонн (102,3% к уровню 2018 года), производство  молока – 1 085 тонн </w:t>
      </w:r>
      <w:r w:rsidRPr="00CE610B">
        <w:rPr>
          <w:szCs w:val="24"/>
        </w:rPr>
        <w:t>(1 136 тонн в 2018 году), производство яиц – 0,6 млн. штук (1,8 млн. штук в 2018 году). В прогнозном периоде 2020-2022 годов производство сельхозпродукции составит: производство мяса – 272-286 тонн (102,6%-107,9% к оценочному 2019 году), производство молока – 1100-1170 тонн (101,4%-107,8% к оценочному 2019 году), производство яиц – 0,9-1,6 млн. штук.</w:t>
      </w:r>
    </w:p>
    <w:p w:rsidR="00646371" w:rsidRPr="00D93506" w:rsidRDefault="00646371" w:rsidP="006A7649">
      <w:pPr>
        <w:autoSpaceDE w:val="0"/>
        <w:autoSpaceDN w:val="0"/>
        <w:adjustRightInd w:val="0"/>
        <w:spacing w:line="276" w:lineRule="auto"/>
        <w:ind w:firstLine="720"/>
        <w:jc w:val="both"/>
        <w:rPr>
          <w:color w:val="FF0000"/>
          <w:szCs w:val="24"/>
        </w:rPr>
      </w:pPr>
      <w:r w:rsidRPr="00B13A4D">
        <w:rPr>
          <w:szCs w:val="24"/>
        </w:rPr>
        <w:t xml:space="preserve">Одна из наиболее </w:t>
      </w:r>
      <w:r>
        <w:rPr>
          <w:szCs w:val="24"/>
        </w:rPr>
        <w:t>стабильных</w:t>
      </w:r>
      <w:r w:rsidRPr="00B13A4D">
        <w:rPr>
          <w:szCs w:val="24"/>
        </w:rPr>
        <w:t xml:space="preserve"> отраслей сельского хозяйства на территории Белоярского района – се</w:t>
      </w:r>
      <w:r>
        <w:rPr>
          <w:szCs w:val="24"/>
        </w:rPr>
        <w:t>верное оленеводство. Поголовье с</w:t>
      </w:r>
      <w:r w:rsidRPr="00B13A4D">
        <w:rPr>
          <w:szCs w:val="24"/>
        </w:rPr>
        <w:t xml:space="preserve">еверных оленей на 1 января 2019 года составило </w:t>
      </w:r>
      <w:r w:rsidRPr="00CE610B">
        <w:rPr>
          <w:szCs w:val="24"/>
        </w:rPr>
        <w:t>16,2 тыс. голов, увеличившись на 0,3 тыс. голов по сра</w:t>
      </w:r>
      <w:r>
        <w:rPr>
          <w:szCs w:val="24"/>
        </w:rPr>
        <w:t>внению с прошлым годом</w:t>
      </w:r>
      <w:r w:rsidRPr="00B13A4D">
        <w:rPr>
          <w:szCs w:val="24"/>
        </w:rPr>
        <w:t xml:space="preserve">. С 1 января 2019 года Правительство Ханты-Мансийского автономного округа – Югры повысило ставки субсидии на содержание северных оленей в крестьянских </w:t>
      </w:r>
      <w:r w:rsidRPr="00B13A4D">
        <w:rPr>
          <w:szCs w:val="24"/>
        </w:rPr>
        <w:lastRenderedPageBreak/>
        <w:t>(фермерских) хозяйствах, организациях, национальных общинах. Новый размер господдержки в 1 400 рублей за одну голову является значительным стимулом для развития отрасли, создания новых рабочих ме</w:t>
      </w:r>
      <w:proofErr w:type="gramStart"/>
      <w:r w:rsidRPr="00B13A4D">
        <w:rPr>
          <w:szCs w:val="24"/>
        </w:rPr>
        <w:t>ст в тр</w:t>
      </w:r>
      <w:proofErr w:type="gramEnd"/>
      <w:r w:rsidRPr="00B13A4D">
        <w:rPr>
          <w:szCs w:val="24"/>
        </w:rPr>
        <w:t xml:space="preserve">адиционной отрасли коренных народов Севера. </w:t>
      </w:r>
    </w:p>
    <w:p w:rsidR="00646371" w:rsidRPr="00B13A4D" w:rsidRDefault="00646371" w:rsidP="006A7649">
      <w:pPr>
        <w:autoSpaceDE w:val="0"/>
        <w:autoSpaceDN w:val="0"/>
        <w:adjustRightInd w:val="0"/>
        <w:spacing w:line="276" w:lineRule="auto"/>
        <w:ind w:firstLine="709"/>
        <w:jc w:val="both"/>
        <w:rPr>
          <w:szCs w:val="24"/>
        </w:rPr>
      </w:pPr>
      <w:r w:rsidRPr="00B13A4D">
        <w:rPr>
          <w:szCs w:val="24"/>
        </w:rPr>
        <w:t>Растениеводство в Белоярском районе имеет неорганизованный характер и в основном сосредоточено на приусадебных участках населения, где выращивают картофель и другие овощи. Динамика производства продукции растениеводства нестабильна, что во многом связано с влиянием погодных условий на урожай разных лет.</w:t>
      </w:r>
    </w:p>
    <w:p w:rsidR="00646371" w:rsidRPr="00D93506" w:rsidRDefault="00646371" w:rsidP="006A7649">
      <w:pPr>
        <w:autoSpaceDE w:val="0"/>
        <w:autoSpaceDN w:val="0"/>
        <w:adjustRightInd w:val="0"/>
        <w:spacing w:line="276" w:lineRule="auto"/>
        <w:ind w:firstLine="720"/>
        <w:jc w:val="both"/>
        <w:rPr>
          <w:color w:val="FF0000"/>
          <w:szCs w:val="24"/>
        </w:rPr>
      </w:pPr>
      <w:r w:rsidRPr="00B13A4D">
        <w:rPr>
          <w:szCs w:val="24"/>
        </w:rPr>
        <w:t>В 2018 году хозяйствами всех категорий выращено 1179,2 тонны картофеля (1922 тонны в 2017 году), 553,6 тонн овощей (в 1,</w:t>
      </w:r>
      <w:r w:rsidRPr="00CE610B">
        <w:rPr>
          <w:szCs w:val="24"/>
        </w:rPr>
        <w:t>6 раз больше, чем за 2017 год). В оценочном 2019 году ожидаемый валовый сбор составит 1191 тонну картофеля и 555 тонн овощей. В прогнозный период 2020-2022 годов сбор карт</w:t>
      </w:r>
      <w:r w:rsidR="00BF016C">
        <w:rPr>
          <w:szCs w:val="24"/>
        </w:rPr>
        <w:t>офеля заложен на уровне 1200-1215 тонн (100,8%-102,0</w:t>
      </w:r>
      <w:r w:rsidRPr="00CE610B">
        <w:rPr>
          <w:szCs w:val="24"/>
        </w:rPr>
        <w:t>% к оценочно</w:t>
      </w:r>
      <w:r w:rsidRPr="001915A0">
        <w:rPr>
          <w:szCs w:val="24"/>
        </w:rPr>
        <w:t xml:space="preserve">му 2019 году), </w:t>
      </w:r>
      <w:r>
        <w:rPr>
          <w:szCs w:val="24"/>
        </w:rPr>
        <w:t>овощей – 560-565</w:t>
      </w:r>
      <w:r w:rsidRPr="001915A0">
        <w:rPr>
          <w:szCs w:val="24"/>
        </w:rPr>
        <w:t xml:space="preserve"> тонн </w:t>
      </w:r>
      <w:r>
        <w:rPr>
          <w:szCs w:val="24"/>
        </w:rPr>
        <w:t>(100,9%-101,8</w:t>
      </w:r>
      <w:r w:rsidRPr="001915A0">
        <w:rPr>
          <w:szCs w:val="24"/>
        </w:rPr>
        <w:t>% к оценочному 2019 году).</w:t>
      </w:r>
    </w:p>
    <w:p w:rsidR="00646371" w:rsidRPr="00D93506" w:rsidRDefault="00646371" w:rsidP="006A7649">
      <w:pPr>
        <w:spacing w:line="276" w:lineRule="auto"/>
        <w:ind w:firstLine="709"/>
        <w:jc w:val="both"/>
        <w:rPr>
          <w:color w:val="FF0000"/>
          <w:szCs w:val="24"/>
        </w:rPr>
      </w:pPr>
      <w:r w:rsidRPr="00B13A4D">
        <w:rPr>
          <w:szCs w:val="24"/>
        </w:rPr>
        <w:t>Объем производства сельскохозяйственной продукции всех категорий за 2018 год состав</w:t>
      </w:r>
      <w:r w:rsidRPr="001915A0">
        <w:rPr>
          <w:szCs w:val="24"/>
        </w:rPr>
        <w:t>ил 320,1 млн. рублей или в сопоставимых ценах 142,6% к уровню 2017 года. В 2019 году производство продукции сельского хозяйства во всех категориях х</w:t>
      </w:r>
      <w:r w:rsidR="00BF016C">
        <w:rPr>
          <w:szCs w:val="24"/>
        </w:rPr>
        <w:t>озяйств оценивается в объеме 344,8 млн. рублей или 99,1</w:t>
      </w:r>
      <w:r w:rsidRPr="001915A0">
        <w:rPr>
          <w:szCs w:val="24"/>
        </w:rPr>
        <w:t xml:space="preserve">% в сопоставимых ценах к уровню 2018 года. В 2020-2022 годах индекс производства сельского хозяйства по базовому варианту </w:t>
      </w:r>
      <w:r w:rsidR="00BF016C">
        <w:rPr>
          <w:szCs w:val="24"/>
        </w:rPr>
        <w:t>прогноза ожидается на уровне 99,9%-100,0</w:t>
      </w:r>
      <w:r w:rsidRPr="001915A0">
        <w:rPr>
          <w:szCs w:val="24"/>
        </w:rPr>
        <w:t>%.</w:t>
      </w:r>
    </w:p>
    <w:p w:rsidR="00646371" w:rsidRPr="0046058F" w:rsidRDefault="00646371" w:rsidP="006A7649">
      <w:pPr>
        <w:spacing w:line="276" w:lineRule="auto"/>
        <w:ind w:firstLine="708"/>
        <w:jc w:val="both"/>
        <w:rPr>
          <w:color w:val="FF0000"/>
          <w:szCs w:val="24"/>
        </w:rPr>
      </w:pPr>
      <w:r w:rsidRPr="00B13A4D">
        <w:rPr>
          <w:szCs w:val="24"/>
        </w:rPr>
        <w:t>На территории Белоярского района в 2019 году реализ</w:t>
      </w:r>
      <w:r>
        <w:rPr>
          <w:szCs w:val="24"/>
        </w:rPr>
        <w:t>уется</w:t>
      </w:r>
      <w:r w:rsidRPr="00B13A4D">
        <w:rPr>
          <w:szCs w:val="24"/>
        </w:rPr>
        <w:t xml:space="preserve"> муниципальная программа «</w:t>
      </w:r>
      <w:r w:rsidRPr="0046058F">
        <w:rPr>
          <w:szCs w:val="24"/>
        </w:rPr>
        <w:t xml:space="preserve">Развитие агропромышленного комплекса на территории Белоярского района на 2019 – 2024 годы». В рамках муниципальной программы </w:t>
      </w:r>
      <w:r w:rsidR="00065C9C">
        <w:rPr>
          <w:szCs w:val="24"/>
        </w:rPr>
        <w:t>с начала</w:t>
      </w:r>
      <w:r w:rsidRPr="0046058F">
        <w:rPr>
          <w:szCs w:val="24"/>
        </w:rPr>
        <w:t xml:space="preserve"> 2019 года за счет средств бюджета Белоярского района предоставлены субсидии: </w:t>
      </w:r>
      <w:proofErr w:type="gramStart"/>
      <w:r w:rsidRPr="0046058F">
        <w:rPr>
          <w:szCs w:val="24"/>
        </w:rPr>
        <w:t xml:space="preserve">ООО СП «Белоярское» на возмещение затрат в связи с приобретением кормов для содержания сельскохозяйственных животных (5,392 млн. руб.) и на возмещение затрат в связи с участием в конкурсах профессионального мастерства среди работников агропромышленного комплекса (29,7 тыс. рублей); АО «Казымская оленеводческая компания» на возмещение затрат в связи с производством и переработкой мяса оленей (0,498 млн. руб.). </w:t>
      </w:r>
      <w:proofErr w:type="gramEnd"/>
    </w:p>
    <w:p w:rsidR="00646371" w:rsidRDefault="00646371" w:rsidP="006A7649">
      <w:pPr>
        <w:spacing w:line="276" w:lineRule="auto"/>
        <w:ind w:firstLine="708"/>
        <w:jc w:val="both"/>
        <w:rPr>
          <w:szCs w:val="24"/>
        </w:rPr>
      </w:pPr>
      <w:r w:rsidRPr="0046058F">
        <w:rPr>
          <w:szCs w:val="24"/>
        </w:rPr>
        <w:t xml:space="preserve">За счет средств бюджета Ханты-Мансийского автономного округа – Югры в рамках реализации отдельного государственного полномочия </w:t>
      </w:r>
      <w:r w:rsidR="00065C9C">
        <w:rPr>
          <w:szCs w:val="24"/>
        </w:rPr>
        <w:t xml:space="preserve">за текущий период </w:t>
      </w:r>
      <w:r w:rsidRPr="0046058F">
        <w:rPr>
          <w:szCs w:val="24"/>
        </w:rPr>
        <w:t>2019 года выплачены субсидии: на  поддержку животноводства, переработки и реализации продукции животноводства (18,66 млн. руб.); на повышение эффективности использования и развитие ресурсного потенциала рыбохозяйственного комплекса               (0,89 млн. руб.).</w:t>
      </w:r>
      <w:r>
        <w:rPr>
          <w:szCs w:val="24"/>
        </w:rPr>
        <w:t xml:space="preserve"> </w:t>
      </w:r>
    </w:p>
    <w:p w:rsidR="00646371" w:rsidRPr="0046058F" w:rsidRDefault="00646371" w:rsidP="006A7649">
      <w:pPr>
        <w:spacing w:line="276" w:lineRule="auto"/>
        <w:ind w:firstLine="708"/>
        <w:jc w:val="both"/>
        <w:rPr>
          <w:szCs w:val="24"/>
        </w:rPr>
      </w:pPr>
      <w:r w:rsidRPr="0046058F">
        <w:rPr>
          <w:szCs w:val="24"/>
        </w:rPr>
        <w:t>Перед предприятиями агропромышленного комплекса стоят задачи по дальнейшему развитию отрасли. Актуальным направлением является развитие производства продукции на экспорт.</w:t>
      </w:r>
    </w:p>
    <w:p w:rsidR="00646371" w:rsidRPr="0046058F" w:rsidRDefault="00646371" w:rsidP="006A7649">
      <w:pPr>
        <w:spacing w:line="276" w:lineRule="auto"/>
        <w:ind w:firstLine="709"/>
        <w:jc w:val="both"/>
        <w:rPr>
          <w:szCs w:val="24"/>
        </w:rPr>
      </w:pPr>
      <w:r w:rsidRPr="0046058F">
        <w:rPr>
          <w:szCs w:val="24"/>
        </w:rPr>
        <w:t xml:space="preserve">ООО СП «Белоярское» полностью обеспечивает бюджетные учреждения социальной сферы молочной продукцией и куриными яйцами. </w:t>
      </w:r>
      <w:r w:rsidRPr="002C0953">
        <w:rPr>
          <w:szCs w:val="24"/>
        </w:rPr>
        <w:t xml:space="preserve">Продукция реализуется через федеральные торговые сети. В 2019 году продолжены работы по замене части мясоперерабатывающего оборудования в ООО СП «Белоярское», приобретено и смонтировано новое мясоперерабатывающее оборудование (куттер, мясорубка), что повысило качество выпускаемых колбасных изделий. Сельскохозяйственным предприятием расширен ассортимент выпускаемой продукции с использованием </w:t>
      </w:r>
      <w:r w:rsidR="003C5C8D">
        <w:rPr>
          <w:szCs w:val="24"/>
        </w:rPr>
        <w:t xml:space="preserve">              </w:t>
      </w:r>
      <w:r w:rsidRPr="002C0953">
        <w:rPr>
          <w:szCs w:val="24"/>
        </w:rPr>
        <w:lastRenderedPageBreak/>
        <w:t xml:space="preserve">творога – печенье творожное, вареники, а также мучные полуфабрикаты – пельмени ручной лепки с начинкой из мяса оленей, свинины охлаждённой. В этом году к выпуску морсов из брусники и клюквы добавились морсы из вишни, облепихи. Для выпуска новых видов продукции приобретена фирменная упаковка. На всю выпускаемую продукцию ООО СП «Белоярское» разработаны и присвоены штрих коды, что снимает ограничения по вхождению местного товаропроизводителя в федеральные торговые сети. </w:t>
      </w:r>
    </w:p>
    <w:p w:rsidR="00646371" w:rsidRDefault="00646371" w:rsidP="006A7649">
      <w:pPr>
        <w:spacing w:line="276" w:lineRule="auto"/>
        <w:ind w:firstLine="709"/>
        <w:jc w:val="both"/>
        <w:outlineLvl w:val="0"/>
        <w:rPr>
          <w:szCs w:val="24"/>
        </w:rPr>
      </w:pPr>
      <w:r w:rsidRPr="0046058F">
        <w:rPr>
          <w:szCs w:val="24"/>
        </w:rPr>
        <w:t xml:space="preserve">Шкурки серебристо-чёрных лисиц АО «Казымская оленеводческая компания» реализуются в Новосибирске, Екатеринбурге. </w:t>
      </w:r>
      <w:r w:rsidRPr="0046058F">
        <w:rPr>
          <w:szCs w:val="24"/>
          <w:shd w:val="clear" w:color="auto" w:fill="FFFFFF"/>
        </w:rPr>
        <w:t>В течение предыдущих двух лет предприятие провело реконструкцию зверофермы. Новое оборудование для приготовления кормов, блочная газовая котельная, капитальный ремонт кормоцеха, строительство новых шедов для содержания молодняка зверей, обеспечили значительное улучшение качества производимой пушнины. </w:t>
      </w:r>
      <w:r w:rsidRPr="0046058F">
        <w:rPr>
          <w:szCs w:val="24"/>
        </w:rPr>
        <w:t xml:space="preserve">В 2018 году предприятие экспортировало шкурки серебристо-чёрных лисиц в Республику Беларусь. </w:t>
      </w:r>
      <w:proofErr w:type="gramStart"/>
      <w:r w:rsidRPr="0046058F">
        <w:rPr>
          <w:szCs w:val="24"/>
        </w:rPr>
        <w:t xml:space="preserve">Кроме того, в 2018 году </w:t>
      </w:r>
      <w:r w:rsidR="00065C9C">
        <w:rPr>
          <w:szCs w:val="24"/>
        </w:rPr>
        <w:t xml:space="preserve">             </w:t>
      </w:r>
      <w:r w:rsidRPr="0046058F">
        <w:rPr>
          <w:szCs w:val="24"/>
        </w:rPr>
        <w:t xml:space="preserve">АО «Казымская оленеводческая компания» в </w:t>
      </w:r>
      <w:proofErr w:type="spellStart"/>
      <w:r w:rsidRPr="0046058F">
        <w:rPr>
          <w:szCs w:val="24"/>
        </w:rPr>
        <w:t>коопреации</w:t>
      </w:r>
      <w:proofErr w:type="spellEnd"/>
      <w:r w:rsidRPr="0046058F">
        <w:rPr>
          <w:szCs w:val="24"/>
        </w:rPr>
        <w:t xml:space="preserve"> с АО «Сибирская рыба» произвело мясные консервы из мяса оленей под брендом «Сделано в Югре», в 2019 году в кооперации с  ООО «</w:t>
      </w:r>
      <w:proofErr w:type="spellStart"/>
      <w:r w:rsidRPr="0046058F">
        <w:rPr>
          <w:szCs w:val="24"/>
        </w:rPr>
        <w:t>Ялуторовский</w:t>
      </w:r>
      <w:proofErr w:type="spellEnd"/>
      <w:r w:rsidRPr="0046058F">
        <w:rPr>
          <w:szCs w:val="24"/>
        </w:rPr>
        <w:t xml:space="preserve"> мясокомбинат» (Тюменская область) произвело </w:t>
      </w:r>
      <w:r w:rsidR="00065C9C">
        <w:rPr>
          <w:szCs w:val="24"/>
        </w:rPr>
        <w:t>27 798</w:t>
      </w:r>
      <w:r w:rsidRPr="0046058F">
        <w:rPr>
          <w:szCs w:val="24"/>
        </w:rPr>
        <w:t xml:space="preserve"> банок мясных консервов</w:t>
      </w:r>
      <w:r w:rsidR="00065C9C">
        <w:rPr>
          <w:szCs w:val="24"/>
        </w:rPr>
        <w:t xml:space="preserve"> </w:t>
      </w:r>
      <w:r w:rsidR="00065C9C" w:rsidRPr="00065C9C">
        <w:rPr>
          <w:szCs w:val="24"/>
        </w:rPr>
        <w:t>(за 2018 год – 18 291 банка мясных консервов)</w:t>
      </w:r>
      <w:r w:rsidRPr="0046058F">
        <w:rPr>
          <w:szCs w:val="24"/>
        </w:rPr>
        <w:t>.</w:t>
      </w:r>
      <w:proofErr w:type="gramEnd"/>
      <w:r w:rsidRPr="0046058F">
        <w:rPr>
          <w:szCs w:val="24"/>
        </w:rPr>
        <w:t xml:space="preserve"> </w:t>
      </w:r>
      <w:r w:rsidRPr="002E61E1">
        <w:rPr>
          <w:szCs w:val="24"/>
        </w:rPr>
        <w:t xml:space="preserve">Мясные и мясорастительные консервы, а также мёд, производимый главой крестьянского (фермерского) хозяйства </w:t>
      </w:r>
      <w:proofErr w:type="spellStart"/>
      <w:r w:rsidRPr="002E61E1">
        <w:rPr>
          <w:szCs w:val="24"/>
        </w:rPr>
        <w:t>Хинчаговым</w:t>
      </w:r>
      <w:proofErr w:type="spellEnd"/>
      <w:r w:rsidRPr="002E61E1">
        <w:rPr>
          <w:szCs w:val="24"/>
        </w:rPr>
        <w:t xml:space="preserve"> К.Д. на территории Белоярского района под брендом «Северное сияние», реализуются как на территории муниципального образования, так и через магазины сельскохозяйственного потребительского кооператива «Ермак-Агро» в городах Ханты-Мансийск и Нижневартовск.</w:t>
      </w:r>
    </w:p>
    <w:p w:rsidR="00646371" w:rsidRPr="0046058F" w:rsidRDefault="00646371" w:rsidP="006A7649">
      <w:pPr>
        <w:spacing w:line="276" w:lineRule="auto"/>
        <w:ind w:firstLine="709"/>
        <w:jc w:val="both"/>
        <w:outlineLvl w:val="0"/>
        <w:rPr>
          <w:szCs w:val="24"/>
        </w:rPr>
      </w:pPr>
      <w:r w:rsidRPr="0046058F">
        <w:rPr>
          <w:szCs w:val="24"/>
        </w:rPr>
        <w:t>Ежегодно оленеводы Белоярского района участвуют и побеждают в конкурсах профессионального мастерства среди оленеводов на кубок Губернатора Ханты-Мансийского автономного округа – Югры. Продукция белоярских производителей - мясные и колбасные изделия, рыбная и молочная, занимает призовые места в конкурсах, выставках-ярмарках.</w:t>
      </w:r>
    </w:p>
    <w:p w:rsidR="00646371" w:rsidRPr="0046058F" w:rsidRDefault="00646371" w:rsidP="006A7649">
      <w:pPr>
        <w:spacing w:line="276" w:lineRule="auto"/>
        <w:ind w:firstLine="709"/>
        <w:jc w:val="both"/>
        <w:textAlignment w:val="baseline"/>
        <w:rPr>
          <w:szCs w:val="24"/>
        </w:rPr>
      </w:pPr>
      <w:proofErr w:type="gramStart"/>
      <w:r w:rsidRPr="0046058F">
        <w:rPr>
          <w:szCs w:val="24"/>
        </w:rPr>
        <w:t xml:space="preserve">Главными приоритетами развития на долгосрочный период определены следующие направления: в животноводстве - наращивание поголовья крупного рогатого скота молочного и мясного направлений, рост объемов производства в мясном и яичном птицеводстве; в растениеводстве - развитие картофелеводства и овощеводства, в том числе закрытого грунта с целью </w:t>
      </w:r>
      <w:proofErr w:type="spellStart"/>
      <w:r w:rsidRPr="0046058F">
        <w:rPr>
          <w:szCs w:val="24"/>
        </w:rPr>
        <w:t>импортозамещения</w:t>
      </w:r>
      <w:proofErr w:type="spellEnd"/>
      <w:r w:rsidRPr="0046058F">
        <w:rPr>
          <w:szCs w:val="24"/>
        </w:rPr>
        <w:t xml:space="preserve"> и максимального обеспечения населения Белоярского района и соседних районов собственной продукцией.</w:t>
      </w:r>
      <w:proofErr w:type="gramEnd"/>
      <w:r w:rsidRPr="0046058F">
        <w:rPr>
          <w:szCs w:val="24"/>
        </w:rPr>
        <w:t xml:space="preserve"> Особое внимание по-прежнему планируется уделять развитию малых форм хозяйствования, в частности - оказание бюджетной поддержки.</w:t>
      </w:r>
    </w:p>
    <w:p w:rsidR="00696217" w:rsidRPr="00646371" w:rsidRDefault="00646371" w:rsidP="006A7649">
      <w:pPr>
        <w:spacing w:line="276" w:lineRule="auto"/>
        <w:ind w:firstLine="709"/>
        <w:jc w:val="both"/>
        <w:textAlignment w:val="baseline"/>
        <w:rPr>
          <w:szCs w:val="24"/>
        </w:rPr>
      </w:pPr>
      <w:r w:rsidRPr="0046058F">
        <w:rPr>
          <w:szCs w:val="24"/>
        </w:rPr>
        <w:t xml:space="preserve">Важным инструментом развития аграрного комплекса станет реализация инвестиционных проектов, создание благоприятного инвестиционного климата. Продолжится работа по оказанию бюджетной поддержки сельскохозяйственным производителям. </w:t>
      </w:r>
    </w:p>
    <w:p w:rsidR="00670937" w:rsidRPr="00D93506" w:rsidRDefault="00670937" w:rsidP="006A7649">
      <w:pPr>
        <w:spacing w:line="276" w:lineRule="auto"/>
        <w:jc w:val="center"/>
        <w:rPr>
          <w:b/>
          <w:color w:val="FF0000"/>
          <w:szCs w:val="24"/>
        </w:rPr>
      </w:pPr>
    </w:p>
    <w:p w:rsidR="00701263" w:rsidRPr="00C12157" w:rsidRDefault="00701263" w:rsidP="006A7649">
      <w:pPr>
        <w:spacing w:line="276" w:lineRule="auto"/>
        <w:jc w:val="center"/>
        <w:rPr>
          <w:b/>
          <w:szCs w:val="24"/>
        </w:rPr>
      </w:pPr>
      <w:r w:rsidRPr="00C12157">
        <w:rPr>
          <w:b/>
          <w:szCs w:val="24"/>
        </w:rPr>
        <w:t>Инвестиции</w:t>
      </w:r>
    </w:p>
    <w:p w:rsidR="00701263" w:rsidRPr="00D93506" w:rsidRDefault="00701263" w:rsidP="006A7649">
      <w:pPr>
        <w:spacing w:line="276" w:lineRule="auto"/>
        <w:jc w:val="center"/>
        <w:rPr>
          <w:b/>
          <w:color w:val="FF0000"/>
          <w:szCs w:val="24"/>
        </w:rPr>
      </w:pPr>
    </w:p>
    <w:p w:rsidR="00B50093" w:rsidRPr="00B849E2" w:rsidRDefault="00B50093" w:rsidP="006A7649">
      <w:pPr>
        <w:tabs>
          <w:tab w:val="left" w:pos="540"/>
        </w:tabs>
        <w:spacing w:line="276" w:lineRule="auto"/>
        <w:ind w:firstLine="709"/>
        <w:jc w:val="both"/>
        <w:rPr>
          <w:rFonts w:eastAsia="Calibri"/>
          <w:szCs w:val="24"/>
        </w:rPr>
      </w:pPr>
      <w:r w:rsidRPr="00B849E2">
        <w:rPr>
          <w:szCs w:val="24"/>
        </w:rPr>
        <w:t xml:space="preserve">Объем инвестиций в основной капитал за счет всех источников финансирования по крупным и средним  предприятиям  за 2018 год составил 16 </w:t>
      </w:r>
      <w:r w:rsidR="00E9683B">
        <w:rPr>
          <w:szCs w:val="24"/>
        </w:rPr>
        <w:t>540 млн. руб. или 96,7</w:t>
      </w:r>
      <w:r w:rsidRPr="00B849E2">
        <w:rPr>
          <w:szCs w:val="24"/>
        </w:rPr>
        <w:t xml:space="preserve">% в сопоставимых ценах к 2017 году. </w:t>
      </w:r>
    </w:p>
    <w:p w:rsidR="00F046A2" w:rsidRDefault="00F046A2" w:rsidP="006A7649">
      <w:pPr>
        <w:tabs>
          <w:tab w:val="left" w:pos="540"/>
        </w:tabs>
        <w:spacing w:line="276" w:lineRule="auto"/>
        <w:ind w:firstLine="709"/>
        <w:jc w:val="right"/>
        <w:rPr>
          <w:szCs w:val="24"/>
        </w:rPr>
      </w:pPr>
    </w:p>
    <w:p w:rsidR="00B50093" w:rsidRPr="00F046A2" w:rsidRDefault="00B50093" w:rsidP="00F046A2">
      <w:pPr>
        <w:tabs>
          <w:tab w:val="left" w:pos="540"/>
        </w:tabs>
        <w:spacing w:line="276" w:lineRule="auto"/>
        <w:ind w:firstLine="709"/>
        <w:jc w:val="right"/>
        <w:rPr>
          <w:szCs w:val="24"/>
        </w:rPr>
      </w:pPr>
      <w:r w:rsidRPr="00B849E2">
        <w:rPr>
          <w:szCs w:val="24"/>
        </w:rPr>
        <w:lastRenderedPageBreak/>
        <w:t xml:space="preserve">Диаграмма </w:t>
      </w:r>
      <w:r w:rsidR="00E9683B">
        <w:rPr>
          <w:szCs w:val="24"/>
        </w:rPr>
        <w:t>4</w:t>
      </w:r>
    </w:p>
    <w:p w:rsidR="00B50093" w:rsidRPr="00235CD0" w:rsidRDefault="00E9683B" w:rsidP="006A7649">
      <w:pPr>
        <w:pStyle w:val="a3"/>
        <w:tabs>
          <w:tab w:val="left" w:pos="709"/>
        </w:tabs>
        <w:spacing w:after="0" w:line="276" w:lineRule="auto"/>
        <w:ind w:firstLine="720"/>
        <w:jc w:val="both"/>
        <w:rPr>
          <w:color w:val="FF0000"/>
          <w:szCs w:val="24"/>
        </w:rPr>
      </w:pPr>
      <w:r>
        <w:rPr>
          <w:noProof/>
        </w:rPr>
        <w:drawing>
          <wp:inline distT="0" distB="0" distL="0" distR="0" wp14:anchorId="296BF1A3" wp14:editId="2D21C79E">
            <wp:extent cx="511302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0093" w:rsidRPr="00B849E2" w:rsidRDefault="00B50093" w:rsidP="006A7649">
      <w:pPr>
        <w:pStyle w:val="a3"/>
        <w:tabs>
          <w:tab w:val="left" w:pos="540"/>
        </w:tabs>
        <w:spacing w:after="0" w:line="276" w:lineRule="auto"/>
        <w:ind w:firstLine="709"/>
        <w:jc w:val="both"/>
        <w:rPr>
          <w:szCs w:val="24"/>
        </w:rPr>
      </w:pPr>
      <w:r w:rsidRPr="00B849E2">
        <w:rPr>
          <w:szCs w:val="24"/>
        </w:rPr>
        <w:t xml:space="preserve">В 2019 году предполагается падение объемов инвестиций по виду деятельности «добыча полезных ископаемых», в </w:t>
      </w:r>
      <w:proofErr w:type="gramStart"/>
      <w:r w:rsidRPr="00B849E2">
        <w:rPr>
          <w:szCs w:val="24"/>
        </w:rPr>
        <w:t>связи</w:t>
      </w:r>
      <w:proofErr w:type="gramEnd"/>
      <w:r w:rsidRPr="00B849E2">
        <w:rPr>
          <w:szCs w:val="24"/>
        </w:rPr>
        <w:t xml:space="preserve"> с чем общий объем инвестиций уменьшится на </w:t>
      </w:r>
      <w:r w:rsidR="00E9683B">
        <w:rPr>
          <w:szCs w:val="24"/>
        </w:rPr>
        <w:t>4,5</w:t>
      </w:r>
      <w:r w:rsidRPr="00B849E2">
        <w:rPr>
          <w:szCs w:val="24"/>
        </w:rPr>
        <w:t xml:space="preserve">% в сопоставимых ценах по сравнению с прошлым годом и составит 16,97 млрд. руб. </w:t>
      </w:r>
    </w:p>
    <w:p w:rsidR="00B50093" w:rsidRPr="00A94A58" w:rsidRDefault="00B50093" w:rsidP="006A7649">
      <w:pPr>
        <w:pStyle w:val="a3"/>
        <w:tabs>
          <w:tab w:val="left" w:pos="540"/>
        </w:tabs>
        <w:spacing w:after="0" w:line="276" w:lineRule="auto"/>
        <w:ind w:firstLine="709"/>
        <w:jc w:val="both"/>
        <w:rPr>
          <w:szCs w:val="24"/>
        </w:rPr>
      </w:pPr>
      <w:r w:rsidRPr="00B849E2">
        <w:t>В 2020 году объем инвестиций в основной капитал предварительно составит 112,2% к уровню 2019 года за счет увеличения объемов вложение нефтедобывающих компаний. Темп роста в прогнозном 2021 году составит 104%, в 2022 году – 87,4%.</w:t>
      </w:r>
      <w:r w:rsidRPr="00235CD0">
        <w:rPr>
          <w:color w:val="FF0000"/>
        </w:rPr>
        <w:t xml:space="preserve"> </w:t>
      </w:r>
      <w:r w:rsidRPr="00A94A58">
        <w:rPr>
          <w:szCs w:val="24"/>
        </w:rPr>
        <w:t>Временное снижение инвестиционной активности будет обусловлено, во-первых, адаптацией экономики к мерам в области экономической политики, вступившим в силу с 1 января 2019 года; во-вторых, временным ростом уровня процентных ставок в экономике.</w:t>
      </w:r>
    </w:p>
    <w:p w:rsidR="00B50093" w:rsidRPr="00A94A58" w:rsidRDefault="00B50093" w:rsidP="006A7649">
      <w:pPr>
        <w:pStyle w:val="a3"/>
        <w:tabs>
          <w:tab w:val="left" w:pos="709"/>
        </w:tabs>
        <w:spacing w:after="0" w:line="276" w:lineRule="auto"/>
        <w:ind w:firstLine="709"/>
        <w:jc w:val="both"/>
        <w:rPr>
          <w:szCs w:val="24"/>
        </w:rPr>
      </w:pPr>
      <w:r w:rsidRPr="00A94A58">
        <w:rPr>
          <w:szCs w:val="24"/>
        </w:rPr>
        <w:t xml:space="preserve">В структуре инвестиций в основной капитал преобладают частные инвестиции, основным источником которых являются собственные средства предприятий, в первую очередь, нефтяных компаний. В разрезе источников финансирования в структуре инвестиций в 2018 году привлеченные средства составили </w:t>
      </w:r>
      <w:r w:rsidR="00E9683B">
        <w:rPr>
          <w:szCs w:val="24"/>
        </w:rPr>
        <w:t>4</w:t>
      </w:r>
      <w:r w:rsidRPr="00A94A58">
        <w:rPr>
          <w:szCs w:val="24"/>
        </w:rPr>
        <w:t>%, собственные средства предприятий – 96,</w:t>
      </w:r>
      <w:r w:rsidR="00E9683B">
        <w:rPr>
          <w:szCs w:val="24"/>
        </w:rPr>
        <w:t>0</w:t>
      </w:r>
      <w:r w:rsidRPr="00A94A58">
        <w:rPr>
          <w:szCs w:val="24"/>
        </w:rPr>
        <w:t>%. В оценке 2019 года структура инвестиций по источникам финансирования существенно не изменится: доля собственных сре</w:t>
      </w:r>
      <w:proofErr w:type="gramStart"/>
      <w:r w:rsidRPr="00A94A58">
        <w:rPr>
          <w:szCs w:val="24"/>
        </w:rPr>
        <w:t>дств пр</w:t>
      </w:r>
      <w:proofErr w:type="gramEnd"/>
      <w:r w:rsidRPr="00A94A58">
        <w:rPr>
          <w:szCs w:val="24"/>
        </w:rPr>
        <w:t>едприятий составит 9</w:t>
      </w:r>
      <w:r w:rsidR="00043620">
        <w:rPr>
          <w:szCs w:val="24"/>
        </w:rPr>
        <w:t>5</w:t>
      </w:r>
      <w:r w:rsidRPr="00A94A58">
        <w:rPr>
          <w:szCs w:val="24"/>
        </w:rPr>
        <w:t xml:space="preserve">%, привлеченных – </w:t>
      </w:r>
      <w:r w:rsidR="00043620">
        <w:rPr>
          <w:szCs w:val="24"/>
        </w:rPr>
        <w:t>5</w:t>
      </w:r>
      <w:r w:rsidRPr="00A94A58">
        <w:rPr>
          <w:szCs w:val="24"/>
        </w:rPr>
        <w:t>%.</w:t>
      </w:r>
    </w:p>
    <w:p w:rsidR="00B50093" w:rsidRPr="00A94A58" w:rsidRDefault="00B50093" w:rsidP="006A7649">
      <w:pPr>
        <w:spacing w:line="276" w:lineRule="auto"/>
        <w:jc w:val="right"/>
        <w:rPr>
          <w:szCs w:val="24"/>
        </w:rPr>
      </w:pPr>
      <w:r w:rsidRPr="00A94A58">
        <w:rPr>
          <w:szCs w:val="24"/>
        </w:rPr>
        <w:t xml:space="preserve">Диаграмма </w:t>
      </w:r>
      <w:r w:rsidR="00E9683B">
        <w:rPr>
          <w:szCs w:val="24"/>
        </w:rPr>
        <w:t>5</w:t>
      </w:r>
    </w:p>
    <w:p w:rsidR="00B50093" w:rsidRPr="00235CD0" w:rsidRDefault="00043620" w:rsidP="006A7649">
      <w:pPr>
        <w:spacing w:line="276" w:lineRule="auto"/>
        <w:rPr>
          <w:color w:val="FF0000"/>
          <w:szCs w:val="24"/>
        </w:rPr>
      </w:pPr>
      <w:r>
        <w:rPr>
          <w:noProof/>
        </w:rPr>
        <w:drawing>
          <wp:inline distT="0" distB="0" distL="0" distR="0" wp14:anchorId="03F3C43B" wp14:editId="39BBB804">
            <wp:extent cx="5932714"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0093" w:rsidRPr="00A94A58" w:rsidRDefault="00B50093" w:rsidP="006A7649">
      <w:pPr>
        <w:spacing w:line="276" w:lineRule="auto"/>
        <w:ind w:firstLine="709"/>
        <w:jc w:val="both"/>
        <w:rPr>
          <w:szCs w:val="24"/>
        </w:rPr>
      </w:pPr>
      <w:r w:rsidRPr="00A94A58">
        <w:rPr>
          <w:szCs w:val="24"/>
        </w:rPr>
        <w:lastRenderedPageBreak/>
        <w:t>В прогнозном периоде 2020-2022 годах ситуация в структуре инвестиций по источникам финансирования не изменится: на долю собственных сре</w:t>
      </w:r>
      <w:proofErr w:type="gramStart"/>
      <w:r w:rsidRPr="00A94A58">
        <w:rPr>
          <w:szCs w:val="24"/>
        </w:rPr>
        <w:t>дств пр</w:t>
      </w:r>
      <w:proofErr w:type="gramEnd"/>
      <w:r w:rsidRPr="00A94A58">
        <w:rPr>
          <w:szCs w:val="24"/>
        </w:rPr>
        <w:t xml:space="preserve">едприятий будет приходиться </w:t>
      </w:r>
      <w:r w:rsidR="00043620">
        <w:rPr>
          <w:szCs w:val="24"/>
        </w:rPr>
        <w:t>93</w:t>
      </w:r>
      <w:r w:rsidRPr="00A94A58">
        <w:rPr>
          <w:szCs w:val="24"/>
        </w:rPr>
        <w:t xml:space="preserve">-94%, на долю привлеченных средств </w:t>
      </w:r>
      <w:r w:rsidR="00043620">
        <w:rPr>
          <w:szCs w:val="24"/>
        </w:rPr>
        <w:t>7</w:t>
      </w:r>
      <w:r w:rsidRPr="00A94A58">
        <w:rPr>
          <w:szCs w:val="24"/>
        </w:rPr>
        <w:t>-6%.</w:t>
      </w:r>
    </w:p>
    <w:p w:rsidR="00B50093" w:rsidRPr="00A94A58" w:rsidRDefault="00B50093" w:rsidP="006A7649">
      <w:pPr>
        <w:pStyle w:val="a3"/>
        <w:tabs>
          <w:tab w:val="left" w:pos="709"/>
        </w:tabs>
        <w:spacing w:after="0" w:line="276" w:lineRule="auto"/>
        <w:ind w:firstLine="720"/>
        <w:jc w:val="both"/>
        <w:rPr>
          <w:szCs w:val="24"/>
        </w:rPr>
      </w:pPr>
      <w:r w:rsidRPr="00A94A58">
        <w:rPr>
          <w:szCs w:val="24"/>
        </w:rPr>
        <w:t xml:space="preserve">По видам экономической деятельности значительный объем инвестиций в основной капитал крупных и средних предприятий Белоярского района за 2018 год пришелся на добычу полезных ископаемых (89%). Это связано с активной разработкой нефтяных месторождений. </w:t>
      </w:r>
      <w:proofErr w:type="gramStart"/>
      <w:r w:rsidRPr="00A94A58">
        <w:rPr>
          <w:szCs w:val="24"/>
        </w:rPr>
        <w:t>По оценке, в 2019 году наибольший  объем инвестиций ожидается на предприятиях, ведущих добычу полезных ископаемых (88%), на строительство 3%. В прогнозном 2020 году значительный объем инвестиций в основной капитал крупных и средних предприятий Белоярского района по видам экономической деятельности прогнозируется на добычу полезных ископаемых, в частности, добычу сырой нефти и нефтяного (попутного) газа (92%), на строительство придется 3%.</w:t>
      </w:r>
      <w:proofErr w:type="gramEnd"/>
    </w:p>
    <w:p w:rsidR="00B50093" w:rsidRPr="00235CD0" w:rsidRDefault="00B50093" w:rsidP="006A7649">
      <w:pPr>
        <w:spacing w:line="276" w:lineRule="auto"/>
        <w:ind w:firstLine="709"/>
        <w:rPr>
          <w:b/>
          <w:i/>
          <w:color w:val="FF0000"/>
          <w:szCs w:val="24"/>
        </w:rPr>
      </w:pPr>
    </w:p>
    <w:p w:rsidR="00B50093" w:rsidRPr="00531E56" w:rsidRDefault="00B50093" w:rsidP="006A7649">
      <w:pPr>
        <w:spacing w:line="276" w:lineRule="auto"/>
        <w:ind w:firstLine="709"/>
        <w:rPr>
          <w:b/>
          <w:i/>
          <w:szCs w:val="24"/>
        </w:rPr>
      </w:pPr>
      <w:r w:rsidRPr="00531E56">
        <w:rPr>
          <w:b/>
          <w:i/>
          <w:szCs w:val="24"/>
        </w:rPr>
        <w:t>Инвестиции в сфере добычи полезных ископаемых</w:t>
      </w:r>
    </w:p>
    <w:p w:rsidR="00B50093" w:rsidRPr="00A94A58" w:rsidRDefault="00B50093" w:rsidP="006A7649">
      <w:pPr>
        <w:spacing w:line="276" w:lineRule="auto"/>
        <w:ind w:firstLine="709"/>
        <w:jc w:val="both"/>
        <w:rPr>
          <w:szCs w:val="24"/>
        </w:rPr>
      </w:pPr>
      <w:r w:rsidRPr="00531E56">
        <w:rPr>
          <w:szCs w:val="24"/>
        </w:rPr>
        <w:t>В 2018 году объем инвестиций, вложенных в топливно-энергетичес</w:t>
      </w:r>
      <w:r w:rsidRPr="00A94A58">
        <w:rPr>
          <w:szCs w:val="24"/>
        </w:rPr>
        <w:t xml:space="preserve">кую отрасль, составил 14 613,7 млн. рублей или 100,3% в сопоставимых ценах к уровню 2017 года. </w:t>
      </w:r>
    </w:p>
    <w:p w:rsidR="00B50093" w:rsidRPr="00A94A58" w:rsidRDefault="00B50093" w:rsidP="006A7649">
      <w:pPr>
        <w:spacing w:line="276" w:lineRule="auto"/>
        <w:ind w:firstLine="709"/>
        <w:jc w:val="both"/>
        <w:rPr>
          <w:szCs w:val="24"/>
        </w:rPr>
      </w:pPr>
      <w:r w:rsidRPr="00A94A58">
        <w:rPr>
          <w:szCs w:val="24"/>
        </w:rPr>
        <w:t>По предварительной оценке в 2019 году объем инвестиций в сфере добычи полезных ископаемых сократится на 4,4% к уровню 2018 года и составит 15 </w:t>
      </w:r>
      <w:r>
        <w:rPr>
          <w:szCs w:val="24"/>
        </w:rPr>
        <w:t>002</w:t>
      </w:r>
      <w:r w:rsidRPr="00A94A58">
        <w:rPr>
          <w:szCs w:val="24"/>
        </w:rPr>
        <w:t xml:space="preserve"> млн. руб., что связано со сложной экономической ситуацией в Российской Федерации и на мировом рынке нефти в целом.</w:t>
      </w:r>
    </w:p>
    <w:p w:rsidR="00B50093" w:rsidRPr="00F046A2" w:rsidRDefault="00B50093" w:rsidP="00F046A2">
      <w:pPr>
        <w:spacing w:line="276" w:lineRule="auto"/>
        <w:ind w:firstLine="709"/>
        <w:jc w:val="right"/>
        <w:rPr>
          <w:szCs w:val="24"/>
        </w:rPr>
      </w:pPr>
      <w:r w:rsidRPr="00A94A58">
        <w:rPr>
          <w:szCs w:val="24"/>
        </w:rPr>
        <w:t xml:space="preserve"> Диаграмма </w:t>
      </w:r>
      <w:r w:rsidR="00E9683B">
        <w:rPr>
          <w:szCs w:val="24"/>
        </w:rPr>
        <w:t>6</w:t>
      </w:r>
    </w:p>
    <w:p w:rsidR="00B50093" w:rsidRPr="00235CD0" w:rsidRDefault="00B50093" w:rsidP="006A7649">
      <w:pPr>
        <w:spacing w:line="276" w:lineRule="auto"/>
        <w:rPr>
          <w:color w:val="FF0000"/>
          <w:szCs w:val="24"/>
        </w:rPr>
      </w:pPr>
      <w:r>
        <w:rPr>
          <w:noProof/>
        </w:rPr>
        <w:drawing>
          <wp:inline distT="0" distB="0" distL="0" distR="0" wp14:anchorId="718F4E36" wp14:editId="21B868E0">
            <wp:extent cx="5686425" cy="25717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0093" w:rsidRPr="00235CD0" w:rsidRDefault="00B50093" w:rsidP="006A7649">
      <w:pPr>
        <w:spacing w:line="276" w:lineRule="auto"/>
        <w:ind w:firstLine="709"/>
        <w:jc w:val="both"/>
        <w:rPr>
          <w:color w:val="FF0000"/>
        </w:rPr>
      </w:pPr>
    </w:p>
    <w:p w:rsidR="00B50093" w:rsidRPr="00A94A58" w:rsidRDefault="00B50093" w:rsidP="006A7649">
      <w:pPr>
        <w:spacing w:line="276" w:lineRule="auto"/>
        <w:ind w:firstLine="709"/>
        <w:jc w:val="both"/>
        <w:rPr>
          <w:szCs w:val="24"/>
        </w:rPr>
      </w:pPr>
      <w:r w:rsidRPr="00A94A58">
        <w:rPr>
          <w:szCs w:val="24"/>
        </w:rPr>
        <w:t>В прогнозном 2020 году объем инвестиций в сфере добычи полезных ископаемых составит 18 115 млн. руб., в 2021 году – 19 525 млн. руб., в 2022 году – 17 343 млн. руб.</w:t>
      </w:r>
    </w:p>
    <w:p w:rsidR="00B50093" w:rsidRPr="00235CD0" w:rsidRDefault="00B50093" w:rsidP="006A7649">
      <w:pPr>
        <w:spacing w:line="276" w:lineRule="auto"/>
        <w:ind w:firstLine="709"/>
        <w:jc w:val="both"/>
        <w:rPr>
          <w:color w:val="FF0000"/>
          <w:szCs w:val="24"/>
        </w:rPr>
      </w:pPr>
    </w:p>
    <w:p w:rsidR="00B50093" w:rsidRPr="00C12157" w:rsidRDefault="00B50093" w:rsidP="006A7649">
      <w:pPr>
        <w:spacing w:line="276" w:lineRule="auto"/>
        <w:ind w:firstLine="709"/>
        <w:rPr>
          <w:b/>
          <w:i/>
          <w:szCs w:val="24"/>
        </w:rPr>
      </w:pPr>
      <w:r w:rsidRPr="00C12157">
        <w:rPr>
          <w:b/>
          <w:i/>
          <w:szCs w:val="24"/>
        </w:rPr>
        <w:t>Инвестиции в сфере транспорта и связи</w:t>
      </w:r>
    </w:p>
    <w:p w:rsidR="00B50093" w:rsidRPr="00A94A58" w:rsidRDefault="00B50093" w:rsidP="006A7649">
      <w:pPr>
        <w:spacing w:line="276" w:lineRule="auto"/>
        <w:ind w:firstLine="709"/>
        <w:jc w:val="both"/>
        <w:rPr>
          <w:szCs w:val="24"/>
        </w:rPr>
      </w:pPr>
      <w:r w:rsidRPr="00A94A58">
        <w:rPr>
          <w:szCs w:val="24"/>
        </w:rPr>
        <w:t xml:space="preserve">В рамках </w:t>
      </w:r>
      <w:r w:rsidRPr="00A94A58">
        <w:rPr>
          <w:bCs/>
          <w:szCs w:val="24"/>
        </w:rPr>
        <w:t>Адресной инвестиционной программы</w:t>
      </w:r>
      <w:r w:rsidRPr="00A94A58">
        <w:rPr>
          <w:szCs w:val="24"/>
        </w:rPr>
        <w:t xml:space="preserve"> ХМАО-Югры в 2018 году введены в эксплуатацию</w:t>
      </w:r>
      <w:r w:rsidRPr="00A94A58">
        <w:rPr>
          <w:b/>
          <w:szCs w:val="24"/>
        </w:rPr>
        <w:t xml:space="preserve"> </w:t>
      </w:r>
      <w:r w:rsidRPr="00A94A58">
        <w:rPr>
          <w:szCs w:val="24"/>
        </w:rPr>
        <w:t>следующие объекты капитального строительства:</w:t>
      </w:r>
    </w:p>
    <w:p w:rsidR="00B50093" w:rsidRPr="00A94A58" w:rsidRDefault="00B50093" w:rsidP="006A7649">
      <w:pPr>
        <w:numPr>
          <w:ilvl w:val="0"/>
          <w:numId w:val="26"/>
        </w:numPr>
        <w:tabs>
          <w:tab w:val="left" w:pos="993"/>
          <w:tab w:val="left" w:pos="1276"/>
          <w:tab w:val="left" w:pos="1560"/>
        </w:tabs>
        <w:spacing w:line="276" w:lineRule="auto"/>
        <w:ind w:left="0" w:firstLine="709"/>
        <w:jc w:val="both"/>
        <w:rPr>
          <w:szCs w:val="24"/>
        </w:rPr>
      </w:pPr>
      <w:r w:rsidRPr="00A94A58">
        <w:rPr>
          <w:szCs w:val="24"/>
        </w:rPr>
        <w:t xml:space="preserve">2 этап строительства объекта «Объездная автомобильная дорога на участке в микрорайоне "Мирный" </w:t>
      </w:r>
      <w:proofErr w:type="spellStart"/>
      <w:r w:rsidRPr="00A94A58">
        <w:rPr>
          <w:szCs w:val="24"/>
        </w:rPr>
        <w:t>г</w:t>
      </w:r>
      <w:proofErr w:type="gramStart"/>
      <w:r w:rsidRPr="00A94A58">
        <w:rPr>
          <w:szCs w:val="24"/>
        </w:rPr>
        <w:t>.Б</w:t>
      </w:r>
      <w:proofErr w:type="gramEnd"/>
      <w:r w:rsidRPr="00A94A58">
        <w:rPr>
          <w:szCs w:val="24"/>
        </w:rPr>
        <w:t>елоярский</w:t>
      </w:r>
      <w:proofErr w:type="spellEnd"/>
      <w:r w:rsidRPr="00A94A58">
        <w:rPr>
          <w:szCs w:val="24"/>
        </w:rPr>
        <w:t>;</w:t>
      </w:r>
    </w:p>
    <w:p w:rsidR="00B50093" w:rsidRPr="00A94A58" w:rsidRDefault="00B50093" w:rsidP="006A7649">
      <w:pPr>
        <w:numPr>
          <w:ilvl w:val="0"/>
          <w:numId w:val="26"/>
        </w:numPr>
        <w:tabs>
          <w:tab w:val="left" w:pos="993"/>
          <w:tab w:val="left" w:pos="1276"/>
          <w:tab w:val="left" w:pos="1560"/>
        </w:tabs>
        <w:spacing w:line="276" w:lineRule="auto"/>
        <w:ind w:left="0" w:firstLine="709"/>
        <w:jc w:val="both"/>
        <w:rPr>
          <w:szCs w:val="24"/>
        </w:rPr>
      </w:pPr>
      <w:r w:rsidRPr="00A94A58">
        <w:rPr>
          <w:szCs w:val="24"/>
        </w:rPr>
        <w:t xml:space="preserve">реконструкция автомобильных дорог </w:t>
      </w:r>
      <w:proofErr w:type="spellStart"/>
      <w:r w:rsidRPr="00A94A58">
        <w:rPr>
          <w:szCs w:val="24"/>
        </w:rPr>
        <w:t>г</w:t>
      </w:r>
      <w:proofErr w:type="gramStart"/>
      <w:r w:rsidRPr="00A94A58">
        <w:rPr>
          <w:szCs w:val="24"/>
        </w:rPr>
        <w:t>.Б</w:t>
      </w:r>
      <w:proofErr w:type="gramEnd"/>
      <w:r w:rsidRPr="00A94A58">
        <w:rPr>
          <w:szCs w:val="24"/>
        </w:rPr>
        <w:t>елоярский</w:t>
      </w:r>
      <w:proofErr w:type="spellEnd"/>
      <w:r w:rsidRPr="00A94A58">
        <w:rPr>
          <w:szCs w:val="24"/>
        </w:rPr>
        <w:t xml:space="preserve">. 1 этап (участок перекресток </w:t>
      </w:r>
      <w:proofErr w:type="spellStart"/>
      <w:r w:rsidRPr="00A94A58">
        <w:rPr>
          <w:szCs w:val="24"/>
        </w:rPr>
        <w:t>ул.Молодости</w:t>
      </w:r>
      <w:proofErr w:type="spellEnd"/>
      <w:r w:rsidRPr="00A94A58">
        <w:rPr>
          <w:szCs w:val="24"/>
        </w:rPr>
        <w:t xml:space="preserve"> - </w:t>
      </w:r>
      <w:proofErr w:type="spellStart"/>
      <w:r w:rsidRPr="00A94A58">
        <w:rPr>
          <w:szCs w:val="24"/>
        </w:rPr>
        <w:t>ул.Центральная</w:t>
      </w:r>
      <w:proofErr w:type="spellEnd"/>
      <w:r w:rsidRPr="00A94A58">
        <w:rPr>
          <w:szCs w:val="24"/>
        </w:rPr>
        <w:t xml:space="preserve"> до перекрестка </w:t>
      </w:r>
      <w:proofErr w:type="spellStart"/>
      <w:r w:rsidRPr="00A94A58">
        <w:rPr>
          <w:szCs w:val="24"/>
        </w:rPr>
        <w:t>ул.Боковая</w:t>
      </w:r>
      <w:proofErr w:type="spellEnd"/>
      <w:r w:rsidRPr="00A94A58">
        <w:rPr>
          <w:szCs w:val="24"/>
        </w:rPr>
        <w:t xml:space="preserve"> - микрорайон Геологов);</w:t>
      </w:r>
    </w:p>
    <w:p w:rsidR="00B50093" w:rsidRPr="00A94A58" w:rsidRDefault="00B50093" w:rsidP="006A7649">
      <w:pPr>
        <w:numPr>
          <w:ilvl w:val="0"/>
          <w:numId w:val="26"/>
        </w:numPr>
        <w:tabs>
          <w:tab w:val="left" w:pos="993"/>
          <w:tab w:val="left" w:pos="1276"/>
          <w:tab w:val="left" w:pos="1560"/>
        </w:tabs>
        <w:spacing w:line="276" w:lineRule="auto"/>
        <w:ind w:left="0" w:firstLine="709"/>
        <w:jc w:val="both"/>
        <w:rPr>
          <w:szCs w:val="24"/>
        </w:rPr>
      </w:pPr>
      <w:r w:rsidRPr="00A94A58">
        <w:rPr>
          <w:szCs w:val="24"/>
        </w:rPr>
        <w:lastRenderedPageBreak/>
        <w:t xml:space="preserve">объездная автомобильная дорога на участке в 6 микрорайоне </w:t>
      </w:r>
      <w:proofErr w:type="spellStart"/>
      <w:r w:rsidRPr="00A94A58">
        <w:rPr>
          <w:szCs w:val="24"/>
        </w:rPr>
        <w:t>г</w:t>
      </w:r>
      <w:proofErr w:type="gramStart"/>
      <w:r w:rsidRPr="00A94A58">
        <w:rPr>
          <w:szCs w:val="24"/>
        </w:rPr>
        <w:t>.Б</w:t>
      </w:r>
      <w:proofErr w:type="gramEnd"/>
      <w:r w:rsidRPr="00A94A58">
        <w:rPr>
          <w:szCs w:val="24"/>
        </w:rPr>
        <w:t>елоярский</w:t>
      </w:r>
      <w:proofErr w:type="spellEnd"/>
      <w:r w:rsidRPr="00A94A58">
        <w:rPr>
          <w:szCs w:val="24"/>
        </w:rPr>
        <w:t>. 1 этап.</w:t>
      </w:r>
    </w:p>
    <w:p w:rsidR="00B50093" w:rsidRPr="00C12157" w:rsidRDefault="00B50093" w:rsidP="006A7649">
      <w:pPr>
        <w:spacing w:line="276" w:lineRule="auto"/>
        <w:ind w:firstLine="709"/>
        <w:jc w:val="both"/>
        <w:rPr>
          <w:szCs w:val="24"/>
        </w:rPr>
      </w:pPr>
      <w:r w:rsidRPr="00C12157">
        <w:rPr>
          <w:szCs w:val="24"/>
        </w:rPr>
        <w:t>В рамках государственной программы «Сотрудничество» разработана проектно – сметная документация на строительство автомобильной дороги «г. Югорск - г. Советский - п. Верхнеказымский, участок 475 км (п. Сосновка) - граница ХМАО – Югры», получено положительное заключение государственной экспертизы. В целях реализации данного проекта требуется разработка проектно-сметной документации на выполнение работ по переустройству нефтепровода «Средне-Хулымское месторождение - п. Бобровка» на пересечении с проектируемой дорогой.</w:t>
      </w:r>
    </w:p>
    <w:p w:rsidR="00B50093" w:rsidRPr="00A94A58" w:rsidRDefault="00B50093" w:rsidP="006A7649">
      <w:pPr>
        <w:spacing w:line="276" w:lineRule="auto"/>
        <w:ind w:firstLine="709"/>
        <w:jc w:val="both"/>
        <w:rPr>
          <w:szCs w:val="24"/>
        </w:rPr>
      </w:pPr>
      <w:r w:rsidRPr="00A94A58">
        <w:rPr>
          <w:szCs w:val="24"/>
        </w:rPr>
        <w:t>В целях реконструкции автомобильной дороги «г. Югорск - г. Советский - п. -                  г. Надым (граница ХМАО – Югры)» в 2018 году осуществлена приемка в собственность ХМАО-Югры от ПАО «Газпром» участка дороги протяженностью 19 км. В целях приведения в нормативное состояние принятого участка автомобильной дороги реконструкция данного участка включена в государственную программу ХМАО-Югры «Современная транспортная система» на 2025-2029г.г.</w:t>
      </w:r>
    </w:p>
    <w:p w:rsidR="00B50093" w:rsidRPr="00A94A58" w:rsidRDefault="00B50093" w:rsidP="006A7649">
      <w:pPr>
        <w:spacing w:line="276" w:lineRule="auto"/>
        <w:ind w:firstLine="709"/>
        <w:jc w:val="both"/>
        <w:rPr>
          <w:szCs w:val="24"/>
        </w:rPr>
      </w:pPr>
      <w:r w:rsidRPr="00A94A58">
        <w:rPr>
          <w:szCs w:val="24"/>
        </w:rPr>
        <w:t>По соглашению  с ПАО "Газпром"  продолжается   строительство дороги до п. Сосновка. На сегодняшний день по строящейся дороге открыто движение.</w:t>
      </w:r>
    </w:p>
    <w:p w:rsidR="00B50093" w:rsidRPr="00A94A58" w:rsidRDefault="00B50093" w:rsidP="006A7649">
      <w:pPr>
        <w:pStyle w:val="a3"/>
        <w:tabs>
          <w:tab w:val="left" w:pos="709"/>
        </w:tabs>
        <w:spacing w:after="0" w:line="276" w:lineRule="auto"/>
        <w:ind w:firstLine="709"/>
        <w:jc w:val="both"/>
        <w:rPr>
          <w:szCs w:val="24"/>
        </w:rPr>
      </w:pPr>
      <w:r w:rsidRPr="00A94A58">
        <w:rPr>
          <w:szCs w:val="24"/>
        </w:rPr>
        <w:t xml:space="preserve">Также одной из актуальных проблем для Белоярского района по развитию инфраструктуры является транспортная развязка на участке п. </w:t>
      </w:r>
      <w:proofErr w:type="spellStart"/>
      <w:r w:rsidRPr="00A94A58">
        <w:rPr>
          <w:szCs w:val="24"/>
        </w:rPr>
        <w:t>Андра</w:t>
      </w:r>
      <w:proofErr w:type="spellEnd"/>
      <w:r w:rsidRPr="00A94A58">
        <w:rPr>
          <w:szCs w:val="24"/>
        </w:rPr>
        <w:t xml:space="preserve"> - </w:t>
      </w:r>
      <w:proofErr w:type="spellStart"/>
      <w:r w:rsidRPr="00A94A58">
        <w:rPr>
          <w:szCs w:val="24"/>
        </w:rPr>
        <w:t>пгт</w:t>
      </w:r>
      <w:proofErr w:type="spellEnd"/>
      <w:r w:rsidRPr="00A94A58">
        <w:rPr>
          <w:szCs w:val="24"/>
        </w:rPr>
        <w:t xml:space="preserve">. </w:t>
      </w:r>
      <w:proofErr w:type="spellStart"/>
      <w:r w:rsidRPr="00A94A58">
        <w:rPr>
          <w:szCs w:val="24"/>
        </w:rPr>
        <w:t>Приобье</w:t>
      </w:r>
      <w:proofErr w:type="spellEnd"/>
      <w:r w:rsidRPr="00A94A58">
        <w:rPr>
          <w:szCs w:val="24"/>
        </w:rPr>
        <w:t xml:space="preserve">.  Строительство мостового перехода  через р. Обь  позволит связать сеть автомобильных дорог Белоярского района с другими территориями ХМАО - Югры, а значит и с сетью автомобильных дорог Российской Федерации в целом, что позволит снять проблему отсутствия наземного сообщения в период распутицы. </w:t>
      </w:r>
    </w:p>
    <w:p w:rsidR="00B50093" w:rsidRPr="00235CD0" w:rsidRDefault="00B50093" w:rsidP="006A7649">
      <w:pPr>
        <w:spacing w:line="276" w:lineRule="auto"/>
        <w:ind w:firstLine="708"/>
        <w:jc w:val="both"/>
        <w:rPr>
          <w:color w:val="FF0000"/>
          <w:szCs w:val="24"/>
        </w:rPr>
      </w:pPr>
    </w:p>
    <w:p w:rsidR="00B50093" w:rsidRPr="00531E56" w:rsidRDefault="00B50093" w:rsidP="006A7649">
      <w:pPr>
        <w:spacing w:line="276" w:lineRule="auto"/>
        <w:ind w:firstLine="709"/>
        <w:rPr>
          <w:b/>
          <w:i/>
          <w:szCs w:val="24"/>
        </w:rPr>
      </w:pPr>
      <w:r w:rsidRPr="00531E56">
        <w:rPr>
          <w:b/>
          <w:i/>
          <w:szCs w:val="24"/>
        </w:rPr>
        <w:t>Инвестиции в сфере жилищно-коммунального комплекса</w:t>
      </w:r>
    </w:p>
    <w:p w:rsidR="00B50093" w:rsidRPr="00531E56" w:rsidRDefault="00B50093" w:rsidP="006A7649">
      <w:pPr>
        <w:tabs>
          <w:tab w:val="left" w:pos="993"/>
        </w:tabs>
        <w:spacing w:line="276" w:lineRule="auto"/>
        <w:ind w:firstLine="709"/>
        <w:jc w:val="both"/>
        <w:rPr>
          <w:bCs/>
          <w:szCs w:val="24"/>
        </w:rPr>
      </w:pPr>
      <w:r w:rsidRPr="00531E56">
        <w:rPr>
          <w:bCs/>
          <w:szCs w:val="24"/>
        </w:rPr>
        <w:t>В рамках Адресной инвестиционной программы ХМАО-Югры в 2018 году введен в эксплуатацию объект капитального строительства «</w:t>
      </w:r>
      <w:r w:rsidRPr="00531E56">
        <w:rPr>
          <w:bCs/>
          <w:szCs w:val="24"/>
        </w:rPr>
        <w:tab/>
        <w:t>3</w:t>
      </w:r>
      <w:r>
        <w:rPr>
          <w:bCs/>
          <w:szCs w:val="24"/>
        </w:rPr>
        <w:t xml:space="preserve"> </w:t>
      </w:r>
      <w:r w:rsidRPr="00531E56">
        <w:rPr>
          <w:bCs/>
          <w:szCs w:val="24"/>
        </w:rPr>
        <w:t xml:space="preserve">этап строительства объекта «Застройка микрорайона 5А </w:t>
      </w:r>
      <w:proofErr w:type="spellStart"/>
      <w:r w:rsidRPr="00531E56">
        <w:rPr>
          <w:bCs/>
          <w:szCs w:val="24"/>
        </w:rPr>
        <w:t>г</w:t>
      </w:r>
      <w:proofErr w:type="gramStart"/>
      <w:r w:rsidRPr="00531E56">
        <w:rPr>
          <w:bCs/>
          <w:szCs w:val="24"/>
        </w:rPr>
        <w:t>.Б</w:t>
      </w:r>
      <w:proofErr w:type="gramEnd"/>
      <w:r w:rsidRPr="00531E56">
        <w:rPr>
          <w:bCs/>
          <w:szCs w:val="24"/>
        </w:rPr>
        <w:t>елоярский</w:t>
      </w:r>
      <w:proofErr w:type="spellEnd"/>
      <w:r w:rsidRPr="00531E56">
        <w:rPr>
          <w:bCs/>
          <w:szCs w:val="24"/>
        </w:rPr>
        <w:t>. Инженерные сети».</w:t>
      </w:r>
    </w:p>
    <w:p w:rsidR="00B50093" w:rsidRPr="00531E56" w:rsidRDefault="00B50093" w:rsidP="006A7649">
      <w:pPr>
        <w:spacing w:line="276" w:lineRule="auto"/>
        <w:ind w:firstLine="709"/>
        <w:jc w:val="both"/>
        <w:rPr>
          <w:szCs w:val="24"/>
        </w:rPr>
      </w:pPr>
      <w:r w:rsidRPr="00531E56">
        <w:rPr>
          <w:szCs w:val="24"/>
        </w:rPr>
        <w:t xml:space="preserve">В рамках муниципальной программы Белоярского района «Охрана окружающей среды на 2014-2020 годы» в 2018 году выполнены работы по устройству контейнерных площадок для сбора ТБО </w:t>
      </w:r>
      <w:proofErr w:type="gramStart"/>
      <w:r w:rsidRPr="00531E56">
        <w:rPr>
          <w:szCs w:val="24"/>
        </w:rPr>
        <w:t>в</w:t>
      </w:r>
      <w:proofErr w:type="gramEnd"/>
      <w:r w:rsidRPr="00531E56">
        <w:rPr>
          <w:szCs w:val="24"/>
        </w:rPr>
        <w:t xml:space="preserve"> с. Казым, п. Сорум и п. Сосновка. </w:t>
      </w:r>
    </w:p>
    <w:p w:rsidR="00B50093" w:rsidRPr="00BC7DC5" w:rsidRDefault="00B50093" w:rsidP="006A7649">
      <w:pPr>
        <w:spacing w:line="276" w:lineRule="auto"/>
        <w:ind w:firstLine="709"/>
        <w:jc w:val="both"/>
        <w:rPr>
          <w:szCs w:val="24"/>
          <w:shd w:val="clear" w:color="auto" w:fill="FFFFFF"/>
        </w:rPr>
      </w:pPr>
      <w:r w:rsidRPr="00BC7DC5">
        <w:rPr>
          <w:szCs w:val="24"/>
          <w:shd w:val="clear" w:color="auto" w:fill="FFFFFF"/>
        </w:rPr>
        <w:t xml:space="preserve">Адресной инвестиционной программой ХМАО-Югры на 2019-2020 годы </w:t>
      </w:r>
      <w:r w:rsidRPr="00114742">
        <w:rPr>
          <w:szCs w:val="24"/>
          <w:shd w:val="clear" w:color="auto" w:fill="FFFFFF"/>
        </w:rPr>
        <w:t xml:space="preserve">предусмотрено строительство канализационных очистных сооружений </w:t>
      </w:r>
      <w:proofErr w:type="gramStart"/>
      <w:r w:rsidRPr="00114742">
        <w:rPr>
          <w:szCs w:val="24"/>
          <w:shd w:val="clear" w:color="auto" w:fill="FFFFFF"/>
        </w:rPr>
        <w:t>в</w:t>
      </w:r>
      <w:proofErr w:type="gramEnd"/>
      <w:r w:rsidRPr="00114742">
        <w:rPr>
          <w:szCs w:val="24"/>
          <w:shd w:val="clear" w:color="auto" w:fill="FFFFFF"/>
        </w:rPr>
        <w:t xml:space="preserve"> с. Казым Белоярского района. В настоящее время планируется корректировка проектно-сметной документации, проведение экспертиз, после чего будет заключен муниципальный контракт на строительно-монтажные работы.</w:t>
      </w:r>
    </w:p>
    <w:p w:rsidR="00B50093" w:rsidRPr="00BC7DC5" w:rsidRDefault="00B50093" w:rsidP="006A7649">
      <w:pPr>
        <w:spacing w:line="276" w:lineRule="auto"/>
        <w:ind w:firstLine="709"/>
        <w:jc w:val="both"/>
        <w:rPr>
          <w:szCs w:val="24"/>
          <w:shd w:val="clear" w:color="auto" w:fill="FFFFFF"/>
        </w:rPr>
      </w:pPr>
      <w:r w:rsidRPr="00BC7DC5">
        <w:rPr>
          <w:szCs w:val="24"/>
          <w:shd w:val="clear" w:color="auto" w:fill="FFFFFF"/>
        </w:rPr>
        <w:t xml:space="preserve">Средства на строительство объекта «Обеспечение водоснабжением г. Белоярский» предусмотрены Адресной инвестиционной программой </w:t>
      </w:r>
      <w:r>
        <w:rPr>
          <w:szCs w:val="24"/>
          <w:shd w:val="clear" w:color="auto" w:fill="FFFFFF"/>
        </w:rPr>
        <w:t xml:space="preserve">ХМАО-Югры на 2019-2020 годы, </w:t>
      </w:r>
      <w:r w:rsidRPr="00BC7DC5">
        <w:rPr>
          <w:szCs w:val="24"/>
          <w:shd w:val="clear" w:color="auto" w:fill="FFFFFF"/>
        </w:rPr>
        <w:t>в 2020 году</w:t>
      </w:r>
      <w:r>
        <w:rPr>
          <w:szCs w:val="24"/>
          <w:shd w:val="clear" w:color="auto" w:fill="FFFFFF"/>
        </w:rPr>
        <w:t xml:space="preserve"> планируется</w:t>
      </w:r>
      <w:r w:rsidRPr="00BC7DC5">
        <w:rPr>
          <w:szCs w:val="24"/>
          <w:shd w:val="clear" w:color="auto" w:fill="FFFFFF"/>
        </w:rPr>
        <w:t xml:space="preserve"> проведен</w:t>
      </w:r>
      <w:r>
        <w:rPr>
          <w:szCs w:val="24"/>
          <w:shd w:val="clear" w:color="auto" w:fill="FFFFFF"/>
        </w:rPr>
        <w:t>ие</w:t>
      </w:r>
      <w:r w:rsidRPr="00BC7DC5">
        <w:rPr>
          <w:szCs w:val="24"/>
          <w:shd w:val="clear" w:color="auto" w:fill="FFFFFF"/>
        </w:rPr>
        <w:t xml:space="preserve"> торг</w:t>
      </w:r>
      <w:r>
        <w:rPr>
          <w:szCs w:val="24"/>
          <w:shd w:val="clear" w:color="auto" w:fill="FFFFFF"/>
        </w:rPr>
        <w:t>ов</w:t>
      </w:r>
      <w:r w:rsidRPr="00BC7DC5">
        <w:rPr>
          <w:szCs w:val="24"/>
          <w:shd w:val="clear" w:color="auto" w:fill="FFFFFF"/>
        </w:rPr>
        <w:t xml:space="preserve"> на строительство (реконструкцию) объекта</w:t>
      </w:r>
      <w:r>
        <w:rPr>
          <w:szCs w:val="24"/>
          <w:shd w:val="clear" w:color="auto" w:fill="FFFFFF"/>
        </w:rPr>
        <w:t>.</w:t>
      </w:r>
    </w:p>
    <w:p w:rsidR="00B50093" w:rsidRDefault="00B50093" w:rsidP="006A7649">
      <w:pPr>
        <w:spacing w:line="276" w:lineRule="auto"/>
        <w:ind w:firstLine="709"/>
        <w:jc w:val="both"/>
        <w:rPr>
          <w:szCs w:val="24"/>
        </w:rPr>
      </w:pPr>
      <w:r w:rsidRPr="00614D7E">
        <w:rPr>
          <w:szCs w:val="24"/>
        </w:rPr>
        <w:t>Муниципальн</w:t>
      </w:r>
      <w:r>
        <w:rPr>
          <w:szCs w:val="24"/>
        </w:rPr>
        <w:t>ой программой</w:t>
      </w:r>
      <w:r w:rsidRPr="00614D7E">
        <w:rPr>
          <w:szCs w:val="24"/>
        </w:rPr>
        <w:t xml:space="preserve"> Белоярского района «Развитие жилищно-коммунального комплекса и повышение энергетической эффективности в Белоярском районе на 2019 – 2024 годы</w:t>
      </w:r>
      <w:r>
        <w:rPr>
          <w:szCs w:val="24"/>
        </w:rPr>
        <w:t>» предполагается в 2022 году приступить к строительству</w:t>
      </w:r>
      <w:r w:rsidRPr="00350897">
        <w:rPr>
          <w:szCs w:val="24"/>
        </w:rPr>
        <w:t xml:space="preserve"> </w:t>
      </w:r>
      <w:r>
        <w:rPr>
          <w:szCs w:val="24"/>
        </w:rPr>
        <w:t>к</w:t>
      </w:r>
      <w:r w:rsidRPr="00350897">
        <w:rPr>
          <w:szCs w:val="24"/>
        </w:rPr>
        <w:t>анализационны</w:t>
      </w:r>
      <w:r>
        <w:rPr>
          <w:szCs w:val="24"/>
        </w:rPr>
        <w:t>х</w:t>
      </w:r>
      <w:r w:rsidRPr="00350897">
        <w:rPr>
          <w:szCs w:val="24"/>
        </w:rPr>
        <w:t xml:space="preserve"> очистны</w:t>
      </w:r>
      <w:r>
        <w:rPr>
          <w:szCs w:val="24"/>
        </w:rPr>
        <w:t>х</w:t>
      </w:r>
      <w:r w:rsidRPr="00350897">
        <w:rPr>
          <w:szCs w:val="24"/>
        </w:rPr>
        <w:t xml:space="preserve"> сооружени</w:t>
      </w:r>
      <w:r>
        <w:rPr>
          <w:szCs w:val="24"/>
        </w:rPr>
        <w:t>й</w:t>
      </w:r>
      <w:r w:rsidRPr="00350897">
        <w:rPr>
          <w:szCs w:val="24"/>
        </w:rPr>
        <w:t xml:space="preserve"> в </w:t>
      </w:r>
      <w:proofErr w:type="spellStart"/>
      <w:r w:rsidRPr="00350897">
        <w:rPr>
          <w:szCs w:val="24"/>
        </w:rPr>
        <w:t>с</w:t>
      </w:r>
      <w:proofErr w:type="gramStart"/>
      <w:r w:rsidRPr="00350897">
        <w:rPr>
          <w:szCs w:val="24"/>
        </w:rPr>
        <w:t>.П</w:t>
      </w:r>
      <w:proofErr w:type="gramEnd"/>
      <w:r w:rsidRPr="00350897">
        <w:rPr>
          <w:szCs w:val="24"/>
        </w:rPr>
        <w:t>олноват</w:t>
      </w:r>
      <w:proofErr w:type="spellEnd"/>
      <w:r w:rsidRPr="00350897">
        <w:rPr>
          <w:szCs w:val="24"/>
        </w:rPr>
        <w:t xml:space="preserve"> Белоярского района</w:t>
      </w:r>
      <w:r>
        <w:rPr>
          <w:szCs w:val="24"/>
        </w:rPr>
        <w:t>.</w:t>
      </w:r>
      <w:r w:rsidRPr="00531E56">
        <w:rPr>
          <w:szCs w:val="24"/>
        </w:rPr>
        <w:t xml:space="preserve"> </w:t>
      </w:r>
    </w:p>
    <w:p w:rsidR="00B50093" w:rsidRDefault="00B50093" w:rsidP="006A7649">
      <w:pPr>
        <w:spacing w:line="276" w:lineRule="auto"/>
        <w:ind w:firstLine="709"/>
        <w:jc w:val="both"/>
        <w:rPr>
          <w:szCs w:val="24"/>
        </w:rPr>
      </w:pPr>
      <w:r w:rsidRPr="00531E56">
        <w:rPr>
          <w:szCs w:val="24"/>
        </w:rPr>
        <w:t>В рамках муниципальной программы Белоярского района</w:t>
      </w:r>
      <w:r w:rsidRPr="006B26F5">
        <w:rPr>
          <w:szCs w:val="24"/>
        </w:rPr>
        <w:t xml:space="preserve"> «Охрана окружающей среды на </w:t>
      </w:r>
      <w:r>
        <w:rPr>
          <w:szCs w:val="24"/>
        </w:rPr>
        <w:t>2019-2024</w:t>
      </w:r>
      <w:r w:rsidRPr="006B26F5">
        <w:rPr>
          <w:szCs w:val="24"/>
        </w:rPr>
        <w:t xml:space="preserve"> годы» в 201</w:t>
      </w:r>
      <w:r>
        <w:rPr>
          <w:szCs w:val="24"/>
        </w:rPr>
        <w:t>9</w:t>
      </w:r>
      <w:r w:rsidRPr="006B26F5">
        <w:rPr>
          <w:szCs w:val="24"/>
        </w:rPr>
        <w:t xml:space="preserve"> году </w:t>
      </w:r>
      <w:r>
        <w:rPr>
          <w:szCs w:val="24"/>
        </w:rPr>
        <w:t xml:space="preserve">проведены </w:t>
      </w:r>
      <w:r w:rsidRPr="006B26F5">
        <w:rPr>
          <w:szCs w:val="24"/>
        </w:rPr>
        <w:t xml:space="preserve">работы по </w:t>
      </w:r>
      <w:r>
        <w:rPr>
          <w:szCs w:val="24"/>
        </w:rPr>
        <w:t xml:space="preserve">проектированию площадок временного размещения ТКО в д. Нумто и в </w:t>
      </w:r>
      <w:proofErr w:type="spellStart"/>
      <w:r>
        <w:rPr>
          <w:szCs w:val="24"/>
        </w:rPr>
        <w:t>с</w:t>
      </w:r>
      <w:proofErr w:type="gramStart"/>
      <w:r>
        <w:rPr>
          <w:szCs w:val="24"/>
        </w:rPr>
        <w:t>.В</w:t>
      </w:r>
      <w:proofErr w:type="gramEnd"/>
      <w:r>
        <w:rPr>
          <w:szCs w:val="24"/>
        </w:rPr>
        <w:t>анзеват</w:t>
      </w:r>
      <w:proofErr w:type="spellEnd"/>
      <w:r w:rsidRPr="006B26F5">
        <w:rPr>
          <w:szCs w:val="24"/>
        </w:rPr>
        <w:t xml:space="preserve">. </w:t>
      </w:r>
      <w:r>
        <w:rPr>
          <w:szCs w:val="24"/>
        </w:rPr>
        <w:t xml:space="preserve"> Для п</w:t>
      </w:r>
      <w:r w:rsidRPr="001B1F6C">
        <w:rPr>
          <w:szCs w:val="24"/>
        </w:rPr>
        <w:t>роектировани</w:t>
      </w:r>
      <w:r>
        <w:rPr>
          <w:szCs w:val="24"/>
        </w:rPr>
        <w:t>я</w:t>
      </w:r>
      <w:r w:rsidRPr="001B1F6C">
        <w:rPr>
          <w:szCs w:val="24"/>
        </w:rPr>
        <w:t xml:space="preserve"> и </w:t>
      </w:r>
      <w:r w:rsidRPr="001B1F6C">
        <w:rPr>
          <w:szCs w:val="24"/>
        </w:rPr>
        <w:lastRenderedPageBreak/>
        <w:t>строительств</w:t>
      </w:r>
      <w:r>
        <w:rPr>
          <w:szCs w:val="24"/>
        </w:rPr>
        <w:t>а</w:t>
      </w:r>
      <w:r w:rsidRPr="001B1F6C">
        <w:rPr>
          <w:szCs w:val="24"/>
        </w:rPr>
        <w:t xml:space="preserve"> Белоярского </w:t>
      </w:r>
      <w:proofErr w:type="spellStart"/>
      <w:r w:rsidRPr="001B1F6C">
        <w:rPr>
          <w:szCs w:val="24"/>
        </w:rPr>
        <w:t>межпоселенческого</w:t>
      </w:r>
      <w:proofErr w:type="spellEnd"/>
      <w:r w:rsidRPr="001B1F6C">
        <w:rPr>
          <w:szCs w:val="24"/>
        </w:rPr>
        <w:t xml:space="preserve"> полигона ТКО</w:t>
      </w:r>
      <w:r>
        <w:rPr>
          <w:szCs w:val="24"/>
        </w:rPr>
        <w:t xml:space="preserve"> в настоящее время </w:t>
      </w:r>
      <w:r w:rsidRPr="008046F9">
        <w:rPr>
          <w:szCs w:val="24"/>
        </w:rPr>
        <w:t>формируется земельный участок под размещение объекта</w:t>
      </w:r>
    </w:p>
    <w:p w:rsidR="00B50093" w:rsidRPr="0071197C" w:rsidRDefault="00B50093" w:rsidP="006A7649">
      <w:pPr>
        <w:spacing w:line="276" w:lineRule="auto"/>
        <w:ind w:firstLine="709"/>
        <w:jc w:val="both"/>
        <w:rPr>
          <w:szCs w:val="24"/>
        </w:rPr>
      </w:pPr>
      <w:r w:rsidRPr="0071197C">
        <w:rPr>
          <w:szCs w:val="24"/>
        </w:rPr>
        <w:t xml:space="preserve">В  2020 году планируется проведение инженерных изысканий для разработки проектной документации на рекультивацию полигона ТБО в </w:t>
      </w:r>
      <w:proofErr w:type="spellStart"/>
      <w:r w:rsidRPr="0071197C">
        <w:rPr>
          <w:szCs w:val="24"/>
        </w:rPr>
        <w:t>г</w:t>
      </w:r>
      <w:proofErr w:type="gramStart"/>
      <w:r w:rsidRPr="0071197C">
        <w:rPr>
          <w:szCs w:val="24"/>
        </w:rPr>
        <w:t>.Б</w:t>
      </w:r>
      <w:proofErr w:type="gramEnd"/>
      <w:r w:rsidRPr="0071197C">
        <w:rPr>
          <w:szCs w:val="24"/>
        </w:rPr>
        <w:t>елоярский</w:t>
      </w:r>
      <w:proofErr w:type="spellEnd"/>
      <w:r w:rsidRPr="0071197C">
        <w:rPr>
          <w:szCs w:val="24"/>
        </w:rPr>
        <w:t xml:space="preserve"> и рекультивацию территории санкционированной свалки твердых бытовых отходов </w:t>
      </w:r>
      <w:proofErr w:type="spellStart"/>
      <w:r w:rsidRPr="0071197C">
        <w:rPr>
          <w:szCs w:val="24"/>
        </w:rPr>
        <w:t>с.Казым</w:t>
      </w:r>
      <w:proofErr w:type="spellEnd"/>
      <w:r w:rsidRPr="0071197C">
        <w:rPr>
          <w:szCs w:val="24"/>
        </w:rPr>
        <w:t xml:space="preserve"> Белоярского района.</w:t>
      </w:r>
    </w:p>
    <w:p w:rsidR="00B50093" w:rsidRPr="00F046A2" w:rsidRDefault="00B50093" w:rsidP="00F046A2">
      <w:pPr>
        <w:pStyle w:val="a7"/>
        <w:tabs>
          <w:tab w:val="left" w:pos="993"/>
        </w:tabs>
        <w:spacing w:line="276" w:lineRule="auto"/>
        <w:ind w:left="0" w:firstLine="709"/>
        <w:jc w:val="both"/>
        <w:rPr>
          <w:sz w:val="24"/>
          <w:szCs w:val="24"/>
        </w:rPr>
      </w:pPr>
      <w:proofErr w:type="gramStart"/>
      <w:r w:rsidRPr="00277A4D">
        <w:rPr>
          <w:sz w:val="24"/>
          <w:szCs w:val="24"/>
        </w:rPr>
        <w:t>В рамках Соглашений о развитии электрических сетей Белоярского района ОАО «ЮТЭК-РС» и АО «ЮРЭСК» в период 2017-2022 годы ведется строительство электросетей, распределительных пунктов и трансформаторных подстанций на общую сумму 420 млн. руб. Заключенные Соглашения направлены на обеспечение бесперебойного электроснабжения населенных пунктов в границах Белоярского района, обеспечение электроснабжением перспективных участков строительства многоквартирных домов и земельных уча</w:t>
      </w:r>
      <w:r w:rsidR="00F046A2">
        <w:rPr>
          <w:sz w:val="24"/>
          <w:szCs w:val="24"/>
        </w:rPr>
        <w:t>стков, предназначенных для ИЖС.</w:t>
      </w:r>
      <w:proofErr w:type="gramEnd"/>
    </w:p>
    <w:p w:rsidR="006A7649" w:rsidRDefault="006A7649" w:rsidP="006A7649">
      <w:pPr>
        <w:spacing w:line="276" w:lineRule="auto"/>
        <w:ind w:firstLine="709"/>
        <w:jc w:val="both"/>
        <w:rPr>
          <w:b/>
          <w:i/>
          <w:szCs w:val="24"/>
        </w:rPr>
      </w:pPr>
    </w:p>
    <w:p w:rsidR="00B50093" w:rsidRPr="00353F10" w:rsidRDefault="00B50093" w:rsidP="006A7649">
      <w:pPr>
        <w:spacing w:line="276" w:lineRule="auto"/>
        <w:ind w:firstLine="709"/>
        <w:jc w:val="both"/>
        <w:rPr>
          <w:b/>
          <w:i/>
          <w:szCs w:val="24"/>
        </w:rPr>
      </w:pPr>
      <w:r w:rsidRPr="00353F10">
        <w:rPr>
          <w:b/>
          <w:i/>
          <w:szCs w:val="24"/>
        </w:rPr>
        <w:t>Инвестиции в социальной сфере</w:t>
      </w:r>
    </w:p>
    <w:p w:rsidR="00B50093" w:rsidRPr="002F5310" w:rsidRDefault="00B50093" w:rsidP="006A7649">
      <w:pPr>
        <w:spacing w:line="276" w:lineRule="auto"/>
        <w:ind w:firstLine="709"/>
        <w:jc w:val="both"/>
        <w:rPr>
          <w:szCs w:val="24"/>
        </w:rPr>
      </w:pPr>
      <w:r w:rsidRPr="002F5310">
        <w:rPr>
          <w:szCs w:val="24"/>
        </w:rPr>
        <w:t>В рамках государственной программы ХМАО - Югры «Развитие образования» в 2018 году приступили к строительству новой общеобразовательной школы в г.</w:t>
      </w:r>
      <w:proofErr w:type="gramStart"/>
      <w:r w:rsidRPr="002F5310">
        <w:rPr>
          <w:szCs w:val="24"/>
        </w:rPr>
        <w:t xml:space="preserve"> ,</w:t>
      </w:r>
      <w:proofErr w:type="gramEnd"/>
      <w:r w:rsidRPr="002F5310">
        <w:rPr>
          <w:szCs w:val="24"/>
        </w:rPr>
        <w:t xml:space="preserve">Белоярский на 300 мест. Строительство осуществляется инвестором АО «ДСК «АВТОБАН» с последующим выкупом объекта. В рамках реализации данного проекта </w:t>
      </w:r>
      <w:r>
        <w:rPr>
          <w:szCs w:val="24"/>
        </w:rPr>
        <w:t>ведется</w:t>
      </w:r>
      <w:r w:rsidRPr="002F5310">
        <w:rPr>
          <w:szCs w:val="24"/>
        </w:rPr>
        <w:t xml:space="preserve"> строительство стадиона, который будет расположен в 4 мкр. на берегу р. Казым.</w:t>
      </w:r>
    </w:p>
    <w:p w:rsidR="00B50093" w:rsidRPr="002F5310" w:rsidRDefault="00B50093" w:rsidP="006A7649">
      <w:pPr>
        <w:spacing w:line="276" w:lineRule="auto"/>
        <w:ind w:firstLine="709"/>
        <w:jc w:val="both"/>
        <w:rPr>
          <w:szCs w:val="24"/>
        </w:rPr>
      </w:pPr>
      <w:r w:rsidRPr="002F5310">
        <w:rPr>
          <w:szCs w:val="24"/>
        </w:rPr>
        <w:t>В 2019 году заключен муниципальный контракт на строительство детского сада на 220 мест в 3А микрорайоне г. Белоярский сроком исполнения 31.08.2020г. Средства на строительство объекта предусмотрены Адресной инвестиционной программой ХМАО-Югры.</w:t>
      </w:r>
    </w:p>
    <w:p w:rsidR="00B50093" w:rsidRPr="002F5310" w:rsidRDefault="00B50093" w:rsidP="006A7649">
      <w:pPr>
        <w:spacing w:line="276" w:lineRule="auto"/>
        <w:ind w:firstLine="709"/>
        <w:jc w:val="both"/>
        <w:rPr>
          <w:szCs w:val="24"/>
        </w:rPr>
      </w:pPr>
      <w:r w:rsidRPr="007B47EF">
        <w:rPr>
          <w:szCs w:val="24"/>
        </w:rPr>
        <w:t xml:space="preserve">Одним из знаковых мероприятий на территории Белоярского района в 2019 году стало открытие историко-краеведческого отдела Центра культуры и спорта «Созвездие» в с. </w:t>
      </w:r>
      <w:proofErr w:type="gramStart"/>
      <w:r w:rsidRPr="007B47EF">
        <w:rPr>
          <w:szCs w:val="24"/>
        </w:rPr>
        <w:t>Полноват</w:t>
      </w:r>
      <w:proofErr w:type="gramEnd"/>
      <w:r w:rsidRPr="007B47EF">
        <w:rPr>
          <w:szCs w:val="24"/>
        </w:rPr>
        <w:t>, где собрана вся история старинного села с момента основания.</w:t>
      </w:r>
    </w:p>
    <w:p w:rsidR="00B50093" w:rsidRDefault="00B50093" w:rsidP="006A7649">
      <w:pPr>
        <w:spacing w:line="276" w:lineRule="auto"/>
        <w:ind w:firstLine="709"/>
        <w:jc w:val="both"/>
        <w:rPr>
          <w:szCs w:val="24"/>
        </w:rPr>
      </w:pPr>
      <w:r w:rsidRPr="002F5310">
        <w:rPr>
          <w:szCs w:val="24"/>
        </w:rPr>
        <w:t>За счет средств ПАО «Газпром трансгаз Югорск» ведется  строительство физкультурно-оздоровительных комплексов с бассейном в п. Сосновка (ввод запланирован в 2019 году)  и п. Верхнеказымский. (ввод запланирован в 2020 году).</w:t>
      </w:r>
    </w:p>
    <w:p w:rsidR="00B50093" w:rsidRDefault="00B50093" w:rsidP="006A7649">
      <w:pPr>
        <w:spacing w:line="276" w:lineRule="auto"/>
        <w:ind w:firstLine="709"/>
        <w:jc w:val="both"/>
        <w:rPr>
          <w:szCs w:val="24"/>
        </w:rPr>
      </w:pPr>
      <w:r w:rsidRPr="001D3DC9">
        <w:rPr>
          <w:szCs w:val="24"/>
        </w:rPr>
        <w:t>В рамках муниципальной программы Белоярского района ««Развитие физической культуры, спорта и молодежной политики на территории Белоярского района на 2019-2024 годы» в 2019 году проведены проектно-изыскательские работы на строительство бальнеологического корпуса базы спорта и отдыха «Северянка», в настоящее время разрабатывается эскизный проект.</w:t>
      </w:r>
    </w:p>
    <w:p w:rsidR="00B50093" w:rsidRPr="001D3DC9" w:rsidRDefault="00B50093" w:rsidP="006A7649">
      <w:pPr>
        <w:spacing w:line="276" w:lineRule="auto"/>
        <w:ind w:firstLine="709"/>
        <w:jc w:val="both"/>
        <w:rPr>
          <w:szCs w:val="24"/>
        </w:rPr>
      </w:pPr>
      <w:r>
        <w:rPr>
          <w:szCs w:val="24"/>
        </w:rPr>
        <w:t xml:space="preserve">В 2020 году планируется проведение </w:t>
      </w:r>
      <w:r w:rsidRPr="00353F10">
        <w:rPr>
          <w:szCs w:val="24"/>
        </w:rPr>
        <w:t>проектно-изыскательски</w:t>
      </w:r>
      <w:r>
        <w:rPr>
          <w:szCs w:val="24"/>
        </w:rPr>
        <w:t>х</w:t>
      </w:r>
      <w:r w:rsidRPr="00353F10">
        <w:rPr>
          <w:szCs w:val="24"/>
        </w:rPr>
        <w:t xml:space="preserve"> работ</w:t>
      </w:r>
      <w:r>
        <w:rPr>
          <w:szCs w:val="24"/>
        </w:rPr>
        <w:t xml:space="preserve"> на</w:t>
      </w:r>
      <w:r w:rsidRPr="00353F10">
        <w:rPr>
          <w:szCs w:val="24"/>
        </w:rPr>
        <w:t xml:space="preserve"> </w:t>
      </w:r>
      <w:r>
        <w:rPr>
          <w:szCs w:val="24"/>
        </w:rPr>
        <w:t xml:space="preserve">реконструкцию инфекционного отделения БУ ХМАО-Югры </w:t>
      </w:r>
      <w:r w:rsidRPr="001D3DC9">
        <w:rPr>
          <w:szCs w:val="24"/>
        </w:rPr>
        <w:t>«Белоярская районная больница»</w:t>
      </w:r>
      <w:r>
        <w:rPr>
          <w:szCs w:val="24"/>
        </w:rPr>
        <w:t>, к которой предполагают приступить в 2021 году.</w:t>
      </w:r>
    </w:p>
    <w:p w:rsidR="00B50093" w:rsidRPr="00C12157" w:rsidRDefault="00B50093" w:rsidP="006A7649">
      <w:pPr>
        <w:autoSpaceDE w:val="0"/>
        <w:autoSpaceDN w:val="0"/>
        <w:adjustRightInd w:val="0"/>
        <w:spacing w:line="276" w:lineRule="auto"/>
        <w:ind w:firstLine="709"/>
        <w:jc w:val="both"/>
        <w:rPr>
          <w:b/>
          <w:i/>
          <w:szCs w:val="24"/>
        </w:rPr>
      </w:pPr>
    </w:p>
    <w:p w:rsidR="00B50093" w:rsidRPr="00235CD0" w:rsidRDefault="00B50093" w:rsidP="006A7649">
      <w:pPr>
        <w:autoSpaceDE w:val="0"/>
        <w:autoSpaceDN w:val="0"/>
        <w:adjustRightInd w:val="0"/>
        <w:spacing w:line="276" w:lineRule="auto"/>
        <w:ind w:firstLine="709"/>
        <w:jc w:val="both"/>
        <w:rPr>
          <w:b/>
          <w:i/>
          <w:color w:val="FF0000"/>
          <w:szCs w:val="24"/>
        </w:rPr>
      </w:pPr>
      <w:r w:rsidRPr="00C12157">
        <w:rPr>
          <w:b/>
          <w:i/>
          <w:szCs w:val="24"/>
        </w:rPr>
        <w:t>Строительство</w:t>
      </w:r>
    </w:p>
    <w:p w:rsidR="00B50093" w:rsidRPr="00531E56" w:rsidRDefault="00B50093" w:rsidP="006A7649">
      <w:pPr>
        <w:autoSpaceDE w:val="0"/>
        <w:autoSpaceDN w:val="0"/>
        <w:adjustRightInd w:val="0"/>
        <w:spacing w:line="276" w:lineRule="auto"/>
        <w:ind w:firstLine="709"/>
        <w:jc w:val="both"/>
        <w:rPr>
          <w:szCs w:val="24"/>
        </w:rPr>
      </w:pPr>
      <w:r w:rsidRPr="00531E56">
        <w:rPr>
          <w:szCs w:val="24"/>
        </w:rPr>
        <w:t xml:space="preserve">Объем работ, выполненных собственными силами крупных и средних организаций (без субъектов малого предпринимательства) по виду экономической деятельности  «строительство», за 2018 года составил 1762,8  млн. рублей или 78,8% в сопоставимых ценах к уровню 2017 года. </w:t>
      </w:r>
      <w:r w:rsidRPr="00531E56">
        <w:rPr>
          <w:bCs/>
          <w:szCs w:val="24"/>
        </w:rPr>
        <w:t>О</w:t>
      </w:r>
      <w:r w:rsidRPr="00531E56">
        <w:rPr>
          <w:szCs w:val="24"/>
        </w:rPr>
        <w:t xml:space="preserve">жидаемый объем работ по виду деятельности «строительство» в 2019 году – 1885,5 руб., темп роста к уровню 2018 года в сопоставимых </w:t>
      </w:r>
      <w:r w:rsidRPr="00531E56">
        <w:rPr>
          <w:szCs w:val="24"/>
        </w:rPr>
        <w:lastRenderedPageBreak/>
        <w:t>ценах составит 99,8%. Темп роста в прогнозном 2020 году составит 97,3%, в 2021 году – 104,6%, в  2022 году – 105,1%.</w:t>
      </w:r>
    </w:p>
    <w:p w:rsidR="00B50093" w:rsidRPr="00531E56" w:rsidRDefault="00B50093" w:rsidP="006A7649">
      <w:pPr>
        <w:autoSpaceDE w:val="0"/>
        <w:autoSpaceDN w:val="0"/>
        <w:adjustRightInd w:val="0"/>
        <w:spacing w:line="276" w:lineRule="auto"/>
        <w:ind w:firstLine="709"/>
        <w:jc w:val="both"/>
        <w:rPr>
          <w:rFonts w:eastAsia="Calibri"/>
          <w:szCs w:val="24"/>
        </w:rPr>
      </w:pPr>
      <w:r w:rsidRPr="00531E56">
        <w:rPr>
          <w:rFonts w:eastAsia="Calibri"/>
          <w:szCs w:val="24"/>
        </w:rPr>
        <w:t xml:space="preserve">Строительство доступного и комфортного жилья всегда было одной из ключевых задач для любой территории. За 2018 год на территории Белоярского района введено 9,3 </w:t>
      </w:r>
      <w:proofErr w:type="spellStart"/>
      <w:r w:rsidRPr="00531E56">
        <w:rPr>
          <w:rFonts w:eastAsia="Calibri"/>
          <w:szCs w:val="24"/>
        </w:rPr>
        <w:t>тыс.кв.м</w:t>
      </w:r>
      <w:proofErr w:type="spellEnd"/>
      <w:r w:rsidRPr="00531E56">
        <w:rPr>
          <w:rFonts w:eastAsia="Calibri"/>
          <w:szCs w:val="24"/>
        </w:rPr>
        <w:t xml:space="preserve">. жилья, в т.ч. ИЖС- 1,1 тыс. кв.м. </w:t>
      </w:r>
      <w:r w:rsidRPr="00531E56">
        <w:rPr>
          <w:bCs/>
          <w:szCs w:val="24"/>
        </w:rPr>
        <w:t>В 2019 году на территории Белоярского района планируется ввести 2,0 тыс. кв.м. жилья (ИЖС).</w:t>
      </w:r>
    </w:p>
    <w:p w:rsidR="00C12157" w:rsidRPr="00BD04BC" w:rsidRDefault="00C12157" w:rsidP="006A7649">
      <w:pPr>
        <w:spacing w:line="276" w:lineRule="auto"/>
        <w:ind w:firstLine="708"/>
        <w:jc w:val="both"/>
        <w:rPr>
          <w:szCs w:val="24"/>
        </w:rPr>
      </w:pPr>
      <w:r w:rsidRPr="00BD04BC">
        <w:rPr>
          <w:szCs w:val="24"/>
        </w:rPr>
        <w:t>За 9 месяцев 2019 года на территории района снесены 3 многоквартирных дома. По предварительным данным</w:t>
      </w:r>
      <w:r w:rsidRPr="00BD04BC">
        <w:rPr>
          <w:b/>
          <w:szCs w:val="24"/>
        </w:rPr>
        <w:t xml:space="preserve"> </w:t>
      </w:r>
      <w:r w:rsidRPr="00BD04BC">
        <w:rPr>
          <w:szCs w:val="24"/>
        </w:rPr>
        <w:t xml:space="preserve">на 1 октября 2019 года площадь жилищного фонда составила 681,1 тыс. кв. м., на одного жителя приходится </w:t>
      </w:r>
      <w:r w:rsidR="00880C5C">
        <w:rPr>
          <w:szCs w:val="24"/>
        </w:rPr>
        <w:t>24,1</w:t>
      </w:r>
      <w:r w:rsidRPr="00BD04BC">
        <w:rPr>
          <w:szCs w:val="24"/>
        </w:rPr>
        <w:t xml:space="preserve"> кв. м жилья. </w:t>
      </w:r>
    </w:p>
    <w:p w:rsidR="00C12157" w:rsidRPr="00347EFB" w:rsidRDefault="00B50093" w:rsidP="006A7649">
      <w:pPr>
        <w:spacing w:line="276" w:lineRule="auto"/>
        <w:ind w:firstLine="708"/>
        <w:jc w:val="both"/>
        <w:rPr>
          <w:szCs w:val="24"/>
        </w:rPr>
      </w:pPr>
      <w:proofErr w:type="gramStart"/>
      <w:r w:rsidRPr="00531E56">
        <w:rPr>
          <w:rFonts w:eastAsia="Calibri"/>
          <w:szCs w:val="24"/>
        </w:rPr>
        <w:t>Для снижения объема ветхого жилищного фонда в</w:t>
      </w:r>
      <w:r w:rsidRPr="00531E56">
        <w:rPr>
          <w:szCs w:val="24"/>
        </w:rPr>
        <w:t xml:space="preserve"> рамках муниципальной программы «Развитие жилищно-коммунального комплекса и повышение энергетической эффективности в Белоярском районе на 201</w:t>
      </w:r>
      <w:r w:rsidR="00A51A9B">
        <w:rPr>
          <w:szCs w:val="24"/>
        </w:rPr>
        <w:t>9</w:t>
      </w:r>
      <w:r w:rsidRPr="00531E56">
        <w:rPr>
          <w:szCs w:val="24"/>
        </w:rPr>
        <w:t xml:space="preserve"> – </w:t>
      </w:r>
      <w:r w:rsidR="00A51A9B">
        <w:rPr>
          <w:szCs w:val="24"/>
        </w:rPr>
        <w:t>2024</w:t>
      </w:r>
      <w:r w:rsidRPr="00531E56">
        <w:rPr>
          <w:szCs w:val="24"/>
        </w:rPr>
        <w:t xml:space="preserve"> годы» </w:t>
      </w:r>
      <w:r w:rsidRPr="00531E56">
        <w:rPr>
          <w:rFonts w:eastAsia="Calibri"/>
          <w:szCs w:val="24"/>
        </w:rPr>
        <w:t>в 2018 году проведен  капитальный ремонт 4 многоквартирных домов  в г. Белоярском на сумму 47,5 млн. руб.  В</w:t>
      </w:r>
      <w:r w:rsidRPr="00531E56">
        <w:rPr>
          <w:szCs w:val="24"/>
        </w:rPr>
        <w:t xml:space="preserve"> 2019 году </w:t>
      </w:r>
      <w:r w:rsidRPr="00531E56">
        <w:rPr>
          <w:rFonts w:eastAsia="Calibri"/>
          <w:noProof/>
          <w:szCs w:val="24"/>
        </w:rPr>
        <w:t xml:space="preserve">капитальный ремонт проводится на </w:t>
      </w:r>
      <w:r w:rsidR="00C12157" w:rsidRPr="00347EFB">
        <w:rPr>
          <w:rFonts w:eastAsia="Calibri"/>
          <w:noProof/>
          <w:szCs w:val="24"/>
        </w:rPr>
        <w:t xml:space="preserve">на </w:t>
      </w:r>
      <w:r w:rsidR="00C12157">
        <w:rPr>
          <w:rFonts w:eastAsia="Calibri"/>
          <w:noProof/>
          <w:szCs w:val="24"/>
        </w:rPr>
        <w:t>4</w:t>
      </w:r>
      <w:r w:rsidR="00C12157" w:rsidRPr="00347EFB">
        <w:rPr>
          <w:rFonts w:eastAsia="Calibri"/>
          <w:noProof/>
          <w:szCs w:val="24"/>
        </w:rPr>
        <w:t xml:space="preserve"> многоквартирных домах общей площадью 12,</w:t>
      </w:r>
      <w:r w:rsidR="00C12157">
        <w:rPr>
          <w:rFonts w:eastAsia="Calibri"/>
          <w:noProof/>
          <w:szCs w:val="24"/>
        </w:rPr>
        <w:t xml:space="preserve">78 </w:t>
      </w:r>
      <w:r w:rsidR="00C12157" w:rsidRPr="00347EFB">
        <w:rPr>
          <w:rFonts w:eastAsia="Calibri"/>
          <w:noProof/>
          <w:szCs w:val="24"/>
        </w:rPr>
        <w:t>тыс. кв.м.  на сумму</w:t>
      </w:r>
      <w:proofErr w:type="gramEnd"/>
      <w:r w:rsidR="00C12157" w:rsidRPr="00347EFB">
        <w:rPr>
          <w:rFonts w:eastAsia="Calibri"/>
          <w:noProof/>
          <w:szCs w:val="24"/>
        </w:rPr>
        <w:t xml:space="preserve"> </w:t>
      </w:r>
      <w:r w:rsidR="00C12157">
        <w:rPr>
          <w:rFonts w:eastAsia="Calibri"/>
          <w:noProof/>
          <w:szCs w:val="24"/>
        </w:rPr>
        <w:t>61,9</w:t>
      </w:r>
      <w:r w:rsidR="00C12157" w:rsidRPr="00347EFB">
        <w:rPr>
          <w:rFonts w:eastAsia="Calibri"/>
          <w:noProof/>
          <w:szCs w:val="24"/>
        </w:rPr>
        <w:t xml:space="preserve"> млн. руб.</w:t>
      </w:r>
      <w:r w:rsidR="00C12157" w:rsidRPr="00347EFB">
        <w:t xml:space="preserve"> </w:t>
      </w:r>
    </w:p>
    <w:p w:rsidR="00B50093" w:rsidRPr="00347EFB" w:rsidRDefault="00B50093" w:rsidP="006A7649">
      <w:pPr>
        <w:autoSpaceDE w:val="0"/>
        <w:autoSpaceDN w:val="0"/>
        <w:adjustRightInd w:val="0"/>
        <w:spacing w:line="276" w:lineRule="auto"/>
        <w:ind w:firstLine="709"/>
        <w:jc w:val="both"/>
      </w:pPr>
      <w:r w:rsidRPr="00347EFB">
        <w:t xml:space="preserve">В целях развития жилищного строительства в рамках муниципальной программы Белоярского района «Обеспечение </w:t>
      </w:r>
      <w:r>
        <w:t>д</w:t>
      </w:r>
      <w:r w:rsidRPr="00347EFB">
        <w:t>оступным и комфортным жильем жителей Белоярского района в 2019-2024 годах» выполнены работы по устройству оснований и покрытий автомобильной дороги мкрн</w:t>
      </w:r>
      <w:proofErr w:type="gramStart"/>
      <w:r w:rsidRPr="00347EFB">
        <w:t>.О</w:t>
      </w:r>
      <w:proofErr w:type="gramEnd"/>
      <w:r w:rsidRPr="00347EFB">
        <w:t xml:space="preserve">зерный-2 г. Белоярский. </w:t>
      </w:r>
    </w:p>
    <w:p w:rsidR="00B50093" w:rsidRPr="0038422E" w:rsidRDefault="00B50093" w:rsidP="006A7649">
      <w:pPr>
        <w:tabs>
          <w:tab w:val="left" w:pos="993"/>
          <w:tab w:val="center" w:pos="4879"/>
        </w:tabs>
        <w:spacing w:line="276" w:lineRule="auto"/>
        <w:ind w:firstLine="709"/>
        <w:jc w:val="both"/>
        <w:outlineLvl w:val="4"/>
        <w:rPr>
          <w:szCs w:val="24"/>
        </w:rPr>
      </w:pPr>
      <w:r w:rsidRPr="0038422E">
        <w:rPr>
          <w:szCs w:val="24"/>
        </w:rPr>
        <w:t xml:space="preserve">В рамках муниципальной программы «Формирование современной городской среды на 2018-2022 годы» в 2019 году разработана сметная документация на благоустройство 4 дворовых территорий в г. Белоярский, заключены муниципальные контракты на проведение строительно-монтажных работ, устройство тротуаров и проездов на дворовых территориях. </w:t>
      </w:r>
      <w:r>
        <w:rPr>
          <w:szCs w:val="24"/>
        </w:rPr>
        <w:t>Ведутся работы по строительству лыже-роллерной трассы в г. Белоярский, на сегодняшний день закончена укладка асфальта, ведутся берегоукрепительные работы.</w:t>
      </w:r>
    </w:p>
    <w:p w:rsidR="000308D2" w:rsidRDefault="000308D2" w:rsidP="006A7649">
      <w:pPr>
        <w:spacing w:line="276" w:lineRule="auto"/>
        <w:ind w:firstLine="709"/>
        <w:jc w:val="both"/>
        <w:rPr>
          <w:rFonts w:eastAsia="Calibri"/>
          <w:color w:val="000000"/>
          <w:szCs w:val="24"/>
          <w:lang w:eastAsia="en-US"/>
        </w:rPr>
      </w:pPr>
      <w:r w:rsidRPr="00274E0C">
        <w:rPr>
          <w:rFonts w:eastAsia="Calibri"/>
          <w:color w:val="000000"/>
          <w:szCs w:val="24"/>
          <w:lang w:eastAsia="en-US"/>
        </w:rPr>
        <w:t>В рамках нац</w:t>
      </w:r>
      <w:r>
        <w:rPr>
          <w:rFonts w:eastAsia="Calibri"/>
          <w:color w:val="000000"/>
          <w:szCs w:val="24"/>
          <w:lang w:eastAsia="en-US"/>
        </w:rPr>
        <w:t xml:space="preserve">ионального </w:t>
      </w:r>
      <w:r w:rsidRPr="00274E0C">
        <w:rPr>
          <w:rFonts w:eastAsia="Calibri"/>
          <w:color w:val="000000"/>
          <w:szCs w:val="24"/>
          <w:lang w:eastAsia="en-US"/>
        </w:rPr>
        <w:t>проекта</w:t>
      </w:r>
      <w:r>
        <w:rPr>
          <w:rFonts w:eastAsia="Calibri"/>
          <w:color w:val="000000"/>
          <w:szCs w:val="24"/>
          <w:lang w:eastAsia="en-US"/>
        </w:rPr>
        <w:t xml:space="preserve"> «Жилье и городская среда»</w:t>
      </w:r>
      <w:r w:rsidRPr="00274E0C">
        <w:rPr>
          <w:rFonts w:eastAsia="Calibri"/>
          <w:color w:val="000000"/>
          <w:szCs w:val="24"/>
          <w:lang w:eastAsia="en-US"/>
        </w:rPr>
        <w:t xml:space="preserve"> важное внимание уделено программам развития городской среды в малых городах и исторических поселениях. </w:t>
      </w:r>
      <w:proofErr w:type="gramStart"/>
      <w:r w:rsidRPr="00274E0C">
        <w:rPr>
          <w:rFonts w:eastAsia="Calibri"/>
          <w:color w:val="000000"/>
          <w:szCs w:val="24"/>
          <w:lang w:eastAsia="en-US"/>
        </w:rPr>
        <w:t xml:space="preserve">В этом году проект «Благоустройство набережной </w:t>
      </w:r>
      <w:proofErr w:type="spellStart"/>
      <w:r w:rsidRPr="00274E0C">
        <w:rPr>
          <w:rFonts w:eastAsia="Calibri"/>
          <w:color w:val="000000"/>
          <w:szCs w:val="24"/>
          <w:lang w:eastAsia="en-US"/>
        </w:rPr>
        <w:t>Сэй</w:t>
      </w:r>
      <w:proofErr w:type="spellEnd"/>
      <w:r w:rsidRPr="00274E0C">
        <w:rPr>
          <w:rFonts w:eastAsia="Calibri"/>
          <w:color w:val="000000"/>
          <w:szCs w:val="24"/>
          <w:lang w:eastAsia="en-US"/>
        </w:rPr>
        <w:t xml:space="preserve"> Пан» стал победителем Всероссийского конкурса лучших проектов создания комфортной городской среды в малых городах и исторических поселениях и получил федеральный грант в размере 60 млн. руб</w:t>
      </w:r>
      <w:r>
        <w:rPr>
          <w:rFonts w:eastAsia="Calibri"/>
          <w:color w:val="000000"/>
          <w:szCs w:val="24"/>
          <w:lang w:eastAsia="en-US"/>
        </w:rPr>
        <w:t>.</w:t>
      </w:r>
      <w:r w:rsidRPr="0051119B">
        <w:rPr>
          <w:rFonts w:eastAsia="Calibri"/>
          <w:color w:val="000000"/>
          <w:szCs w:val="24"/>
          <w:lang w:eastAsia="en-US"/>
        </w:rPr>
        <w:t xml:space="preserve"> </w:t>
      </w:r>
      <w:r>
        <w:rPr>
          <w:rFonts w:eastAsia="Calibri"/>
          <w:color w:val="000000"/>
          <w:szCs w:val="24"/>
          <w:lang w:eastAsia="en-US"/>
        </w:rPr>
        <w:t xml:space="preserve">На данный момент завершилась разработка проектно-сметной документации 3 и 4 этапов </w:t>
      </w:r>
      <w:r w:rsidRPr="00274E0C">
        <w:rPr>
          <w:rFonts w:eastAsia="Calibri"/>
          <w:color w:val="000000"/>
          <w:szCs w:val="24"/>
          <w:lang w:eastAsia="en-US"/>
        </w:rPr>
        <w:t xml:space="preserve">«Благоустройство набережной </w:t>
      </w:r>
      <w:proofErr w:type="spellStart"/>
      <w:r w:rsidRPr="00274E0C">
        <w:rPr>
          <w:rFonts w:eastAsia="Calibri"/>
          <w:color w:val="000000"/>
          <w:szCs w:val="24"/>
          <w:lang w:eastAsia="en-US"/>
        </w:rPr>
        <w:t>Сэй</w:t>
      </w:r>
      <w:proofErr w:type="spellEnd"/>
      <w:r w:rsidRPr="00274E0C">
        <w:rPr>
          <w:rFonts w:eastAsia="Calibri"/>
          <w:color w:val="000000"/>
          <w:szCs w:val="24"/>
          <w:lang w:eastAsia="en-US"/>
        </w:rPr>
        <w:t xml:space="preserve"> Пан»</w:t>
      </w:r>
      <w:r>
        <w:rPr>
          <w:rFonts w:eastAsia="Calibri"/>
          <w:color w:val="000000"/>
          <w:szCs w:val="24"/>
          <w:lang w:eastAsia="en-US"/>
        </w:rPr>
        <w:t>, после прохождения ценовой экспертизы будут объявлены торги на выполнение работ.</w:t>
      </w:r>
      <w:proofErr w:type="gramEnd"/>
    </w:p>
    <w:p w:rsidR="000308D2" w:rsidRDefault="000308D2" w:rsidP="006A7649">
      <w:pPr>
        <w:spacing w:line="276" w:lineRule="auto"/>
        <w:ind w:firstLine="709"/>
        <w:jc w:val="both"/>
        <w:rPr>
          <w:rFonts w:eastAsia="Calibri"/>
          <w:color w:val="000000"/>
          <w:szCs w:val="24"/>
          <w:lang w:eastAsia="en-US"/>
        </w:rPr>
      </w:pPr>
      <w:r w:rsidRPr="00274E0C">
        <w:rPr>
          <w:rFonts w:eastAsia="Calibri"/>
          <w:bCs/>
          <w:color w:val="000000"/>
          <w:szCs w:val="24"/>
          <w:lang w:eastAsia="en-US"/>
        </w:rPr>
        <w:t xml:space="preserve">В текущем году </w:t>
      </w:r>
      <w:r w:rsidRPr="00274E0C">
        <w:rPr>
          <w:rFonts w:eastAsia="Calibri"/>
          <w:color w:val="000000"/>
          <w:szCs w:val="24"/>
          <w:lang w:eastAsia="en-US"/>
        </w:rPr>
        <w:t>благоустроена улица Центральная в г</w:t>
      </w:r>
      <w:r>
        <w:rPr>
          <w:rFonts w:eastAsia="Calibri"/>
          <w:color w:val="000000"/>
          <w:szCs w:val="24"/>
          <w:lang w:eastAsia="en-US"/>
        </w:rPr>
        <w:t>.</w:t>
      </w:r>
      <w:r w:rsidRPr="00274E0C">
        <w:rPr>
          <w:rFonts w:eastAsia="Calibri"/>
          <w:color w:val="000000"/>
          <w:szCs w:val="24"/>
          <w:lang w:eastAsia="en-US"/>
        </w:rPr>
        <w:t xml:space="preserve"> Белоярский. Открыт </w:t>
      </w:r>
      <w:proofErr w:type="spellStart"/>
      <w:r w:rsidRPr="00274E0C">
        <w:rPr>
          <w:rFonts w:eastAsia="Calibri"/>
          <w:color w:val="000000"/>
          <w:szCs w:val="24"/>
          <w:lang w:eastAsia="en-US"/>
        </w:rPr>
        <w:t>скейт</w:t>
      </w:r>
      <w:proofErr w:type="spellEnd"/>
      <w:r w:rsidRPr="00274E0C">
        <w:rPr>
          <w:rFonts w:eastAsia="Calibri"/>
          <w:color w:val="000000"/>
          <w:szCs w:val="24"/>
          <w:lang w:eastAsia="en-US"/>
        </w:rPr>
        <w:t>-парк, который ориентирован для катания на скейтборде для райдеров с начальным, средним и профессиональным уровнем мастерства, а так же для катания на велосипедах, роликах и кик скутере. Создана разгрузочная парковка для временной и постоянной стоянки автомобильного транспорта.</w:t>
      </w:r>
    </w:p>
    <w:p w:rsidR="00C07744" w:rsidRPr="00D93506" w:rsidRDefault="00C07744" w:rsidP="006A7649">
      <w:pPr>
        <w:spacing w:line="276" w:lineRule="auto"/>
        <w:jc w:val="center"/>
        <w:rPr>
          <w:b/>
          <w:color w:val="FF0000"/>
          <w:szCs w:val="24"/>
        </w:rPr>
      </w:pPr>
    </w:p>
    <w:p w:rsidR="00646371" w:rsidRPr="0046058F" w:rsidRDefault="00646371" w:rsidP="006A7649">
      <w:pPr>
        <w:spacing w:line="276" w:lineRule="auto"/>
        <w:jc w:val="center"/>
        <w:rPr>
          <w:b/>
          <w:szCs w:val="24"/>
        </w:rPr>
      </w:pPr>
      <w:r w:rsidRPr="0046058F">
        <w:rPr>
          <w:b/>
          <w:szCs w:val="24"/>
        </w:rPr>
        <w:t xml:space="preserve">Потребительский рынок </w:t>
      </w:r>
    </w:p>
    <w:p w:rsidR="00646371" w:rsidRPr="0046058F" w:rsidRDefault="00646371" w:rsidP="006A7649">
      <w:pPr>
        <w:spacing w:line="276" w:lineRule="auto"/>
        <w:jc w:val="center"/>
        <w:rPr>
          <w:b/>
          <w:szCs w:val="24"/>
        </w:rPr>
      </w:pPr>
    </w:p>
    <w:p w:rsidR="00646371" w:rsidRPr="0046058F" w:rsidRDefault="00646371" w:rsidP="006A7649">
      <w:pPr>
        <w:spacing w:line="276" w:lineRule="auto"/>
        <w:ind w:firstLine="720"/>
        <w:jc w:val="both"/>
        <w:rPr>
          <w:szCs w:val="24"/>
        </w:rPr>
      </w:pPr>
      <w:r w:rsidRPr="0046058F">
        <w:rPr>
          <w:szCs w:val="24"/>
        </w:rPr>
        <w:t xml:space="preserve">На территории  Белоярского района созданы условия для удовлетворения спроса населения на потребительские товары и услуги, формирования конкурентной среды, отмечается  активное увеличение площадей сетевых форматов торговли. </w:t>
      </w:r>
    </w:p>
    <w:p w:rsidR="00646371" w:rsidRPr="0046058F" w:rsidRDefault="00646371" w:rsidP="006A7649">
      <w:pPr>
        <w:spacing w:line="276" w:lineRule="auto"/>
        <w:ind w:firstLine="720"/>
        <w:jc w:val="both"/>
        <w:rPr>
          <w:szCs w:val="24"/>
        </w:rPr>
      </w:pPr>
      <w:r w:rsidRPr="0046058F">
        <w:rPr>
          <w:szCs w:val="24"/>
        </w:rPr>
        <w:lastRenderedPageBreak/>
        <w:t>Инфраструктура торговли в Белоярском районе представлена достаточно разветвлённой сетью торговых организаций. Сегодня на потребительском рынке функционируют 209 предприятий розничной торговли  торговой площадью 15 440,1 кв. метров, 6  торговых  центров  торговой площадью 11 404 кв. метра, 7 павильонов торговой площадью 135 кв. метров. Общая торговая площадь – 26 979,1 кв. метров. Обеспеченность торговыми площадями составляет 9</w:t>
      </w:r>
      <w:r>
        <w:rPr>
          <w:szCs w:val="24"/>
        </w:rPr>
        <w:t>54,3 кв. метра</w:t>
      </w:r>
      <w:r w:rsidRPr="0046058F">
        <w:rPr>
          <w:szCs w:val="24"/>
        </w:rPr>
        <w:t xml:space="preserve"> на 1000 жителей, что в 1,9 раз превышает уровень норматива минимальной обеспеченности населения (509 кв. метров). </w:t>
      </w:r>
    </w:p>
    <w:p w:rsidR="00646371" w:rsidRDefault="00646371" w:rsidP="006A7649">
      <w:pPr>
        <w:spacing w:line="276" w:lineRule="auto"/>
        <w:ind w:firstLine="720"/>
        <w:jc w:val="both"/>
        <w:rPr>
          <w:szCs w:val="24"/>
        </w:rPr>
      </w:pPr>
      <w:r w:rsidRPr="0046058F">
        <w:rPr>
          <w:szCs w:val="24"/>
        </w:rPr>
        <w:t xml:space="preserve">Крупные торговые сети стали  одним  из самых быстрорастущих  и успешных сегментов экономики. </w:t>
      </w:r>
      <w:r w:rsidRPr="00423B0D">
        <w:rPr>
          <w:szCs w:val="24"/>
        </w:rPr>
        <w:t>На территории Белоярского района работают промышленные и продовольственные ритейлеры федерального масштаба: магазин «Детский мир», «ДНС», «</w:t>
      </w:r>
      <w:proofErr w:type="spellStart"/>
      <w:r w:rsidRPr="00423B0D">
        <w:rPr>
          <w:szCs w:val="24"/>
        </w:rPr>
        <w:t>Бургер</w:t>
      </w:r>
      <w:proofErr w:type="spellEnd"/>
      <w:r w:rsidRPr="00423B0D">
        <w:rPr>
          <w:szCs w:val="24"/>
        </w:rPr>
        <w:t xml:space="preserve"> Кинг», магазины «Магнит», Торговая сеть «Монетка», Торговая сеть «</w:t>
      </w:r>
      <w:proofErr w:type="gramStart"/>
      <w:r w:rsidRPr="00423B0D">
        <w:rPr>
          <w:szCs w:val="24"/>
        </w:rPr>
        <w:t>Красное</w:t>
      </w:r>
      <w:proofErr w:type="gramEnd"/>
      <w:r w:rsidRPr="00423B0D">
        <w:rPr>
          <w:szCs w:val="24"/>
        </w:rPr>
        <w:t xml:space="preserve"> Белое», магазин одежды «Зола», магазин обуви и аксессуаров «Кари»</w:t>
      </w:r>
      <w:r w:rsidR="004D57AB">
        <w:rPr>
          <w:szCs w:val="24"/>
        </w:rPr>
        <w:t>. В октябре 2019 года в торговых центрах</w:t>
      </w:r>
      <w:r w:rsidRPr="00423B0D">
        <w:rPr>
          <w:szCs w:val="24"/>
        </w:rPr>
        <w:t xml:space="preserve"> «Лабаз» </w:t>
      </w:r>
      <w:r w:rsidR="004D57AB">
        <w:rPr>
          <w:szCs w:val="24"/>
        </w:rPr>
        <w:t>и «Оазис Плаза» открылись</w:t>
      </w:r>
      <w:r w:rsidRPr="00423B0D">
        <w:rPr>
          <w:szCs w:val="24"/>
        </w:rPr>
        <w:t xml:space="preserve"> </w:t>
      </w:r>
      <w:r w:rsidR="004D57AB">
        <w:rPr>
          <w:szCs w:val="24"/>
        </w:rPr>
        <w:t xml:space="preserve">магазины </w:t>
      </w:r>
      <w:r w:rsidRPr="00423B0D">
        <w:rPr>
          <w:szCs w:val="24"/>
        </w:rPr>
        <w:t xml:space="preserve">торговой сети «Пятерочка». </w:t>
      </w:r>
    </w:p>
    <w:p w:rsidR="00646371" w:rsidRPr="00423B0D" w:rsidRDefault="00646371" w:rsidP="006A7649">
      <w:pPr>
        <w:spacing w:line="276" w:lineRule="auto"/>
        <w:ind w:firstLine="720"/>
        <w:jc w:val="both"/>
        <w:rPr>
          <w:szCs w:val="24"/>
        </w:rPr>
      </w:pPr>
      <w:r w:rsidRPr="0046058F">
        <w:rPr>
          <w:szCs w:val="24"/>
        </w:rPr>
        <w:t xml:space="preserve">На территории Белоярского района действует торгово-развлекательный центр «Оазис Плаза». </w:t>
      </w:r>
      <w:r w:rsidRPr="00423B0D">
        <w:rPr>
          <w:szCs w:val="24"/>
        </w:rPr>
        <w:t xml:space="preserve">В 2019 году на территории торгового центра открылся сетевой магазин «Магнит Косметик», в июне цифровой супермаркет «ДНС» открыл магазин с  увеличенной площадью до 1200 кв.м., также в  июне  начала работу  сеть  магазинов блюд японской кухни «Суши </w:t>
      </w:r>
      <w:proofErr w:type="spellStart"/>
      <w:r w:rsidRPr="00423B0D">
        <w:rPr>
          <w:szCs w:val="24"/>
        </w:rPr>
        <w:t>Маркет</w:t>
      </w:r>
      <w:proofErr w:type="spellEnd"/>
      <w:r w:rsidRPr="00423B0D">
        <w:rPr>
          <w:szCs w:val="24"/>
        </w:rPr>
        <w:t xml:space="preserve">». </w:t>
      </w:r>
    </w:p>
    <w:p w:rsidR="00646371" w:rsidRPr="00897CA8" w:rsidRDefault="00646371" w:rsidP="006A7649">
      <w:pPr>
        <w:spacing w:line="276" w:lineRule="auto"/>
        <w:ind w:firstLine="720"/>
        <w:jc w:val="both"/>
        <w:rPr>
          <w:szCs w:val="24"/>
        </w:rPr>
      </w:pPr>
      <w:r w:rsidRPr="00423B0D">
        <w:rPr>
          <w:szCs w:val="24"/>
        </w:rPr>
        <w:t xml:space="preserve">На территории  торгового центра «Меркурий» в г. Белоярский открылся </w:t>
      </w:r>
      <w:r>
        <w:rPr>
          <w:szCs w:val="24"/>
        </w:rPr>
        <w:t>очередной</w:t>
      </w:r>
      <w:r w:rsidRPr="00423B0D">
        <w:rPr>
          <w:szCs w:val="24"/>
        </w:rPr>
        <w:t xml:space="preserve"> магазин «Магнит». На территории города Белоярский представлен новый формат ювелирных магазинов «Золотой 585». До конца 2019 года торговая сеть «Пятерочка» планирует открыть еще </w:t>
      </w:r>
      <w:r w:rsidR="004D57AB">
        <w:rPr>
          <w:szCs w:val="24"/>
        </w:rPr>
        <w:t>магазин</w:t>
      </w:r>
      <w:r w:rsidRPr="00423B0D">
        <w:rPr>
          <w:szCs w:val="24"/>
        </w:rPr>
        <w:t xml:space="preserve"> в ТЦ «Армения сити» в г. </w:t>
      </w:r>
      <w:r w:rsidRPr="00897CA8">
        <w:rPr>
          <w:szCs w:val="24"/>
        </w:rPr>
        <w:t>Белоярский.</w:t>
      </w:r>
    </w:p>
    <w:p w:rsidR="00646371" w:rsidRPr="00D93506" w:rsidRDefault="00646371" w:rsidP="006A7649">
      <w:pPr>
        <w:spacing w:line="276" w:lineRule="auto"/>
        <w:ind w:firstLine="720"/>
        <w:jc w:val="both"/>
        <w:rPr>
          <w:color w:val="FF0000"/>
          <w:szCs w:val="24"/>
        </w:rPr>
      </w:pPr>
      <w:r w:rsidRPr="00897CA8">
        <w:rPr>
          <w:szCs w:val="24"/>
        </w:rPr>
        <w:t xml:space="preserve">За 2018 год объем потребительского рынка по Белоярскому району составил </w:t>
      </w:r>
      <w:r w:rsidR="00F046A2">
        <w:rPr>
          <w:szCs w:val="24"/>
        </w:rPr>
        <w:t xml:space="preserve"> </w:t>
      </w:r>
      <w:r w:rsidRPr="00897CA8">
        <w:rPr>
          <w:szCs w:val="24"/>
        </w:rPr>
        <w:t xml:space="preserve">9656,1 млн. руб., индекс физического объема к уровню 2017 года – 102,5% в сопоставимых ценах. В оценке 2019 года жителям и гостям Белоярского района в денежном эквиваленте будет продано товаров, оказано услуг общественного питания и платных услуг населению на сумму 10 312,4 млн. рублей или 102,0% в сопоставимых ценах по отношению к 2018 году.  </w:t>
      </w:r>
    </w:p>
    <w:p w:rsidR="00F046A2" w:rsidRDefault="00F046A2" w:rsidP="006A7649">
      <w:pPr>
        <w:spacing w:line="276" w:lineRule="auto"/>
        <w:ind w:firstLine="720"/>
        <w:jc w:val="right"/>
        <w:rPr>
          <w:szCs w:val="24"/>
        </w:rPr>
      </w:pPr>
    </w:p>
    <w:p w:rsidR="00646371" w:rsidRPr="00897CA8" w:rsidRDefault="00646371" w:rsidP="006A7649">
      <w:pPr>
        <w:spacing w:line="276" w:lineRule="auto"/>
        <w:ind w:firstLine="720"/>
        <w:jc w:val="right"/>
        <w:rPr>
          <w:szCs w:val="24"/>
        </w:rPr>
      </w:pPr>
      <w:r w:rsidRPr="00897CA8">
        <w:rPr>
          <w:szCs w:val="24"/>
        </w:rPr>
        <w:t xml:space="preserve">Диаграмма </w:t>
      </w:r>
      <w:r w:rsidR="00E9683B">
        <w:rPr>
          <w:szCs w:val="24"/>
        </w:rPr>
        <w:t>7</w:t>
      </w:r>
    </w:p>
    <w:p w:rsidR="00646371" w:rsidRPr="00D93506" w:rsidRDefault="00646371" w:rsidP="006A7649">
      <w:pPr>
        <w:spacing w:line="276" w:lineRule="auto"/>
        <w:jc w:val="right"/>
        <w:rPr>
          <w:color w:val="FF0000"/>
          <w:szCs w:val="24"/>
        </w:rPr>
      </w:pPr>
      <w:r>
        <w:rPr>
          <w:noProof/>
        </w:rPr>
        <w:drawing>
          <wp:inline distT="0" distB="0" distL="0" distR="0" wp14:anchorId="3A9C2B92" wp14:editId="144063D9">
            <wp:extent cx="5940425" cy="2736850"/>
            <wp:effectExtent l="0" t="0" r="0"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6371" w:rsidRPr="00D93506" w:rsidRDefault="00646371" w:rsidP="006A7649">
      <w:pPr>
        <w:spacing w:line="276" w:lineRule="auto"/>
        <w:rPr>
          <w:color w:val="FF0000"/>
          <w:szCs w:val="24"/>
        </w:rPr>
      </w:pPr>
    </w:p>
    <w:p w:rsidR="00646371" w:rsidRPr="00B95D5B" w:rsidRDefault="00646371" w:rsidP="006A7649">
      <w:pPr>
        <w:spacing w:line="276" w:lineRule="auto"/>
        <w:ind w:firstLine="720"/>
        <w:jc w:val="both"/>
        <w:rPr>
          <w:szCs w:val="24"/>
        </w:rPr>
      </w:pPr>
      <w:r w:rsidRPr="00B95D5B">
        <w:rPr>
          <w:szCs w:val="24"/>
        </w:rPr>
        <w:lastRenderedPageBreak/>
        <w:t xml:space="preserve">Базовый вариант прогноза на период 2020-2022 годов предусматривает среднегодовые темпы роста объема потребительского рынка на уровне 102,2%-102,3% в сопоставимых ценах. </w:t>
      </w:r>
    </w:p>
    <w:p w:rsidR="00646371" w:rsidRPr="00D93506" w:rsidRDefault="00646371" w:rsidP="006A7649">
      <w:pPr>
        <w:spacing w:line="276" w:lineRule="auto"/>
        <w:ind w:firstLine="720"/>
        <w:jc w:val="both"/>
        <w:rPr>
          <w:b/>
          <w:bCs/>
          <w:i/>
          <w:color w:val="FF0000"/>
          <w:szCs w:val="24"/>
        </w:rPr>
      </w:pPr>
    </w:p>
    <w:p w:rsidR="00646371" w:rsidRPr="00EF025A" w:rsidRDefault="00646371" w:rsidP="006A7649">
      <w:pPr>
        <w:spacing w:line="276" w:lineRule="auto"/>
        <w:ind w:firstLine="720"/>
        <w:jc w:val="both"/>
        <w:rPr>
          <w:b/>
          <w:bCs/>
          <w:i/>
          <w:szCs w:val="24"/>
        </w:rPr>
      </w:pPr>
      <w:r w:rsidRPr="00EF025A">
        <w:rPr>
          <w:b/>
          <w:bCs/>
          <w:i/>
          <w:szCs w:val="24"/>
        </w:rPr>
        <w:t>Оборот розничной торговли</w:t>
      </w:r>
    </w:p>
    <w:p w:rsidR="00646371" w:rsidRPr="00D93506" w:rsidRDefault="00646371" w:rsidP="006A7649">
      <w:pPr>
        <w:spacing w:line="276" w:lineRule="auto"/>
        <w:ind w:firstLine="720"/>
        <w:jc w:val="both"/>
        <w:rPr>
          <w:color w:val="FF0000"/>
          <w:szCs w:val="24"/>
        </w:rPr>
      </w:pPr>
      <w:r w:rsidRPr="00EF025A">
        <w:rPr>
          <w:szCs w:val="24"/>
        </w:rPr>
        <w:t>Объем розничного товарооборота по полному кругу предприятий за 2018 год составил 7 152,6 млн. рублей (102</w:t>
      </w:r>
      <w:r w:rsidRPr="00B95D5B">
        <w:rPr>
          <w:szCs w:val="24"/>
        </w:rPr>
        <w:t xml:space="preserve">,0% в сопоставимых ценах к уровню 2017 года), в расчете  на одного жителя - 249,4 тыс. рублей. </w:t>
      </w:r>
    </w:p>
    <w:p w:rsidR="00646371" w:rsidRPr="00EF025A" w:rsidRDefault="00646371" w:rsidP="006A7649">
      <w:pPr>
        <w:autoSpaceDE w:val="0"/>
        <w:autoSpaceDN w:val="0"/>
        <w:adjustRightInd w:val="0"/>
        <w:spacing w:line="276" w:lineRule="auto"/>
        <w:ind w:firstLine="708"/>
        <w:jc w:val="both"/>
        <w:rPr>
          <w:szCs w:val="24"/>
        </w:rPr>
      </w:pPr>
      <w:r w:rsidRPr="00EF025A">
        <w:rPr>
          <w:szCs w:val="24"/>
        </w:rPr>
        <w:t xml:space="preserve">В оценке 2019 года оборот розничной торговли по полному кругу предприятий составит 7 652,6 млн. рублей или 101,8% в сопоставимых ценах к 2018 году. С приходом на территорию Белоярского района федеральных и региональных торговых сетей доля оборота розничной торговли крупных и средних предприятий возросла. </w:t>
      </w:r>
    </w:p>
    <w:p w:rsidR="00646371" w:rsidRPr="0046058F" w:rsidRDefault="00646371" w:rsidP="006A7649">
      <w:pPr>
        <w:spacing w:line="276" w:lineRule="auto"/>
        <w:ind w:firstLine="708"/>
        <w:jc w:val="both"/>
        <w:rPr>
          <w:szCs w:val="24"/>
        </w:rPr>
      </w:pPr>
      <w:r w:rsidRPr="0046058F">
        <w:rPr>
          <w:szCs w:val="24"/>
        </w:rPr>
        <w:t>Между Белоярским районом и городом Витебск Республики продолжается сотрудничество, одним из аспектов которого является производственный товарообмен. В частности, в рамках договоренности о взаимовыгодном товарообороте в сеть белоярских магазинов «Блеск» (ИП Кулакова Н.И.) поступают товары белорусских производителей. Белоярский район, в свою очередь, направляет на экспорт в Республику Беларусь пищевую рыбу, шкуры серебристо-черных лисиц.</w:t>
      </w:r>
    </w:p>
    <w:p w:rsidR="00646371" w:rsidRPr="00EF025A" w:rsidRDefault="00646371" w:rsidP="006A7649">
      <w:pPr>
        <w:spacing w:line="276" w:lineRule="auto"/>
        <w:ind w:firstLine="708"/>
        <w:jc w:val="both"/>
        <w:rPr>
          <w:szCs w:val="24"/>
        </w:rPr>
      </w:pPr>
      <w:r w:rsidRPr="00EF025A">
        <w:rPr>
          <w:szCs w:val="24"/>
        </w:rPr>
        <w:t xml:space="preserve">В период 2020-2022 годов среднегодовые темпы роста оборота розничной торговли по базовому варианту прогноза составят 102,0%-102,4% в сопоставимых ценах. </w:t>
      </w:r>
    </w:p>
    <w:p w:rsidR="00646371" w:rsidRPr="00EF025A" w:rsidRDefault="00646371" w:rsidP="006A7649">
      <w:pPr>
        <w:autoSpaceDE w:val="0"/>
        <w:autoSpaceDN w:val="0"/>
        <w:adjustRightInd w:val="0"/>
        <w:spacing w:line="276" w:lineRule="auto"/>
        <w:ind w:firstLine="708"/>
        <w:jc w:val="both"/>
        <w:rPr>
          <w:b/>
          <w:i/>
          <w:szCs w:val="24"/>
        </w:rPr>
      </w:pPr>
    </w:p>
    <w:p w:rsidR="00646371" w:rsidRPr="00EF025A" w:rsidRDefault="00646371" w:rsidP="006A7649">
      <w:pPr>
        <w:autoSpaceDE w:val="0"/>
        <w:autoSpaceDN w:val="0"/>
        <w:adjustRightInd w:val="0"/>
        <w:spacing w:line="276" w:lineRule="auto"/>
        <w:ind w:firstLine="708"/>
        <w:jc w:val="both"/>
        <w:rPr>
          <w:b/>
          <w:i/>
          <w:szCs w:val="24"/>
        </w:rPr>
      </w:pPr>
      <w:r w:rsidRPr="00EF025A">
        <w:rPr>
          <w:b/>
          <w:i/>
          <w:szCs w:val="24"/>
        </w:rPr>
        <w:t>Оборот общественного питания</w:t>
      </w:r>
    </w:p>
    <w:p w:rsidR="00646371" w:rsidRPr="00EF025A" w:rsidRDefault="00646371" w:rsidP="006A7649">
      <w:pPr>
        <w:autoSpaceDE w:val="0"/>
        <w:autoSpaceDN w:val="0"/>
        <w:adjustRightInd w:val="0"/>
        <w:spacing w:line="276" w:lineRule="auto"/>
        <w:ind w:firstLine="708"/>
        <w:jc w:val="both"/>
        <w:rPr>
          <w:szCs w:val="24"/>
        </w:rPr>
      </w:pPr>
      <w:r w:rsidRPr="00EF025A">
        <w:rPr>
          <w:szCs w:val="24"/>
        </w:rPr>
        <w:t xml:space="preserve">Оборот общественного питания по полному кругу предприятий за 2018 год составил 803,2 млн. рублей или 101,5% в сопоставимых ценах к уровню 2017 года. </w:t>
      </w:r>
    </w:p>
    <w:p w:rsidR="00646371" w:rsidRPr="00EF025A" w:rsidRDefault="00646371" w:rsidP="006A7649">
      <w:pPr>
        <w:spacing w:line="276" w:lineRule="auto"/>
        <w:ind w:firstLine="720"/>
        <w:jc w:val="both"/>
        <w:rPr>
          <w:szCs w:val="24"/>
        </w:rPr>
      </w:pPr>
      <w:r w:rsidRPr="00EF025A">
        <w:rPr>
          <w:szCs w:val="24"/>
        </w:rPr>
        <w:t>В 2019 году на территории Белоярского района функционируют 42 объекта общественного питания на 3 427 посадочных мест. Рыночная сеть представлена 1 универсальным рынком УМП «Городской центр торговли».</w:t>
      </w:r>
    </w:p>
    <w:p w:rsidR="00646371" w:rsidRPr="00EF025A" w:rsidRDefault="00646371" w:rsidP="006A7649">
      <w:pPr>
        <w:spacing w:line="276" w:lineRule="auto"/>
        <w:ind w:firstLine="720"/>
        <w:jc w:val="both"/>
        <w:rPr>
          <w:szCs w:val="24"/>
        </w:rPr>
      </w:pPr>
      <w:r w:rsidRPr="00EF025A">
        <w:rPr>
          <w:szCs w:val="24"/>
        </w:rPr>
        <w:t xml:space="preserve">На территории Белоярского района в 2019 году проводится «Продуктовая ярмарка» с привлечением сельхозтоваропроизводителей Тюменской, Курганской и Свердловской областей. </w:t>
      </w:r>
    </w:p>
    <w:p w:rsidR="00646371" w:rsidRPr="00EF025A" w:rsidRDefault="00646371" w:rsidP="006A7649">
      <w:pPr>
        <w:spacing w:line="276" w:lineRule="auto"/>
        <w:ind w:firstLine="708"/>
        <w:jc w:val="both"/>
        <w:rPr>
          <w:szCs w:val="24"/>
        </w:rPr>
      </w:pPr>
      <w:r w:rsidRPr="00EF025A">
        <w:rPr>
          <w:szCs w:val="24"/>
        </w:rPr>
        <w:t xml:space="preserve">В период 2020-2022 годов среднегодовые темпы роста оборота общественного питания по базовому варианту прогноза составят 101,2%-101,4% в сопоставимых ценах. </w:t>
      </w:r>
    </w:p>
    <w:p w:rsidR="00646371" w:rsidRPr="00D93506" w:rsidRDefault="00646371" w:rsidP="006A7649">
      <w:pPr>
        <w:spacing w:line="276" w:lineRule="auto"/>
        <w:ind w:firstLine="720"/>
        <w:jc w:val="both"/>
        <w:rPr>
          <w:color w:val="FF0000"/>
          <w:szCs w:val="24"/>
        </w:rPr>
      </w:pPr>
    </w:p>
    <w:p w:rsidR="00646371" w:rsidRPr="00EF025A" w:rsidRDefault="00646371" w:rsidP="006A7649">
      <w:pPr>
        <w:spacing w:line="276" w:lineRule="auto"/>
        <w:ind w:firstLine="720"/>
        <w:jc w:val="both"/>
        <w:rPr>
          <w:b/>
          <w:i/>
          <w:szCs w:val="24"/>
        </w:rPr>
      </w:pPr>
      <w:r w:rsidRPr="00EF025A">
        <w:rPr>
          <w:b/>
          <w:i/>
          <w:szCs w:val="24"/>
        </w:rPr>
        <w:t>Платные услуги населению</w:t>
      </w:r>
    </w:p>
    <w:p w:rsidR="00646371" w:rsidRPr="00EF025A" w:rsidRDefault="00646371" w:rsidP="006A7649">
      <w:pPr>
        <w:spacing w:line="276" w:lineRule="auto"/>
        <w:ind w:firstLine="720"/>
        <w:jc w:val="both"/>
        <w:rPr>
          <w:szCs w:val="24"/>
        </w:rPr>
      </w:pPr>
      <w:r w:rsidRPr="00EF025A">
        <w:rPr>
          <w:szCs w:val="24"/>
        </w:rPr>
        <w:t>Объем реализации платных услуг населению за 2018 год составил 1 700,3 млн. рублей или 102,5% в сопоставимых ценах к уровню 2017 года.</w:t>
      </w:r>
    </w:p>
    <w:p w:rsidR="00646371" w:rsidRPr="00EF025A" w:rsidRDefault="00646371" w:rsidP="006A7649">
      <w:pPr>
        <w:spacing w:line="276" w:lineRule="auto"/>
        <w:ind w:firstLine="720"/>
        <w:jc w:val="both"/>
        <w:rPr>
          <w:szCs w:val="24"/>
        </w:rPr>
      </w:pPr>
      <w:r w:rsidRPr="00EF025A">
        <w:rPr>
          <w:szCs w:val="24"/>
        </w:rPr>
        <w:t>По оценочным данным, объем реализации платных услуг населению в 2019 году составит 1 810,4 млн. рублей или 101,5% в сопоставимых ценах к уровню 2018 года. В структуре платных услуг в 2019 году, как и в 2018 году, наибольший удельный вес приходится на услуги связи, жилищные и коммунальные услуги.</w:t>
      </w:r>
    </w:p>
    <w:p w:rsidR="00646371" w:rsidRPr="00EF025A" w:rsidRDefault="00646371" w:rsidP="006A7649">
      <w:pPr>
        <w:spacing w:line="276" w:lineRule="auto"/>
        <w:ind w:firstLine="720"/>
        <w:jc w:val="both"/>
        <w:rPr>
          <w:szCs w:val="24"/>
        </w:rPr>
      </w:pPr>
      <w:r w:rsidRPr="00EF025A">
        <w:rPr>
          <w:szCs w:val="24"/>
        </w:rPr>
        <w:t xml:space="preserve">Большая часть объема оказанных платных услуг населению будет приходиться на сферу малого предпринимательства. К числу платных услуг населению, предоставляемых представителями малого бизнеса относятся транспортные и бытовые услуги, туристские услуги, медицинские, услуги правового характера, услуги в системе образования и др.  </w:t>
      </w:r>
    </w:p>
    <w:p w:rsidR="00646371" w:rsidRPr="00EF025A" w:rsidRDefault="00646371" w:rsidP="006A7649">
      <w:pPr>
        <w:spacing w:line="276" w:lineRule="auto"/>
        <w:ind w:firstLine="720"/>
        <w:jc w:val="both"/>
        <w:rPr>
          <w:rFonts w:eastAsia="Calibri"/>
          <w:szCs w:val="24"/>
        </w:rPr>
      </w:pPr>
      <w:r w:rsidRPr="00EF025A">
        <w:rPr>
          <w:szCs w:val="24"/>
        </w:rPr>
        <w:t xml:space="preserve">Услуги связи представляются региональным отделением ОАО «Мегафон», ОАО «Ростелеком», «Билайн </w:t>
      </w:r>
      <w:r w:rsidRPr="00EF025A">
        <w:rPr>
          <w:szCs w:val="24"/>
          <w:lang w:val="en-US"/>
        </w:rPr>
        <w:t>GSM</w:t>
      </w:r>
      <w:r w:rsidRPr="00EF025A">
        <w:rPr>
          <w:szCs w:val="24"/>
        </w:rPr>
        <w:t xml:space="preserve">», ПАО «Мобильные </w:t>
      </w:r>
      <w:proofErr w:type="spellStart"/>
      <w:r w:rsidRPr="00EF025A">
        <w:rPr>
          <w:szCs w:val="24"/>
        </w:rPr>
        <w:t>ТелеСистемы</w:t>
      </w:r>
      <w:proofErr w:type="spellEnd"/>
      <w:r w:rsidRPr="00EF025A">
        <w:rPr>
          <w:szCs w:val="24"/>
        </w:rPr>
        <w:t xml:space="preserve">» («МТС»), ООО </w:t>
      </w:r>
      <w:r w:rsidRPr="00EF025A">
        <w:rPr>
          <w:szCs w:val="24"/>
        </w:rPr>
        <w:lastRenderedPageBreak/>
        <w:t>«Екатеринбург 2000» (Телекоммуникационная группа «Мотив»), О</w:t>
      </w:r>
      <w:r w:rsidRPr="00EF025A">
        <w:rPr>
          <w:szCs w:val="24"/>
          <w:shd w:val="clear" w:color="auto" w:fill="FFFFFF"/>
        </w:rPr>
        <w:t>ОО «Т</w:t>
      </w:r>
      <w:proofErr w:type="gramStart"/>
      <w:r w:rsidRPr="00EF025A">
        <w:rPr>
          <w:szCs w:val="24"/>
          <w:shd w:val="clear" w:color="auto" w:fill="FFFFFF"/>
        </w:rPr>
        <w:t>2</w:t>
      </w:r>
      <w:proofErr w:type="gramEnd"/>
      <w:r w:rsidRPr="00EF025A">
        <w:rPr>
          <w:szCs w:val="24"/>
          <w:shd w:val="clear" w:color="auto" w:fill="FFFFFF"/>
        </w:rPr>
        <w:t xml:space="preserve"> Рус Холдинг» (ТЕЛЕ 2).</w:t>
      </w:r>
      <w:r w:rsidRPr="00EF025A">
        <w:rPr>
          <w:szCs w:val="24"/>
        </w:rPr>
        <w:t xml:space="preserve"> </w:t>
      </w:r>
    </w:p>
    <w:p w:rsidR="00646371" w:rsidRPr="00EF025A" w:rsidRDefault="00646371" w:rsidP="006A7649">
      <w:pPr>
        <w:spacing w:line="276" w:lineRule="auto"/>
        <w:ind w:firstLine="720"/>
        <w:jc w:val="both"/>
        <w:rPr>
          <w:szCs w:val="24"/>
        </w:rPr>
      </w:pPr>
      <w:r w:rsidRPr="00EF025A">
        <w:rPr>
          <w:szCs w:val="24"/>
        </w:rPr>
        <w:t>Предоставление жилищных и коммунальных услуг осуществляют как крупные предприятия, так и  управляющие компании, относящиеся к числу малых предприятий.</w:t>
      </w:r>
    </w:p>
    <w:p w:rsidR="00646371" w:rsidRPr="00C226BE" w:rsidRDefault="00646371" w:rsidP="006A7649">
      <w:pPr>
        <w:spacing w:line="276" w:lineRule="auto"/>
        <w:ind w:firstLine="720"/>
        <w:jc w:val="both"/>
        <w:rPr>
          <w:szCs w:val="24"/>
        </w:rPr>
      </w:pPr>
      <w:r w:rsidRPr="00EF025A">
        <w:rPr>
          <w:szCs w:val="24"/>
        </w:rPr>
        <w:t>В сфере социальных услуг населению по-прежнему основной объем будет приходиться на услуги в системе образования, медицинские услуги, а также  услуги учреждений культуры, физического спорта и санаторно-оздоровительные услуги.</w:t>
      </w:r>
    </w:p>
    <w:p w:rsidR="00646371" w:rsidRPr="00D93506" w:rsidRDefault="00646371" w:rsidP="006A7649">
      <w:pPr>
        <w:spacing w:line="276" w:lineRule="auto"/>
        <w:ind w:firstLine="709"/>
        <w:jc w:val="both"/>
        <w:textAlignment w:val="baseline"/>
        <w:outlineLvl w:val="2"/>
        <w:rPr>
          <w:color w:val="FF0000"/>
          <w:szCs w:val="24"/>
        </w:rPr>
      </w:pPr>
      <w:r w:rsidRPr="00C226BE">
        <w:rPr>
          <w:szCs w:val="24"/>
        </w:rPr>
        <w:t xml:space="preserve">Среднегодовые темпы роста объемов платных услуг населению </w:t>
      </w:r>
      <w:r>
        <w:rPr>
          <w:szCs w:val="24"/>
        </w:rPr>
        <w:t xml:space="preserve">в 2020-2022 годах </w:t>
      </w:r>
      <w:r w:rsidRPr="00C226BE">
        <w:rPr>
          <w:szCs w:val="24"/>
        </w:rPr>
        <w:t xml:space="preserve">составят 102,3%-102,6% в сопоставимых ценах. </w:t>
      </w:r>
    </w:p>
    <w:p w:rsidR="009B11DB" w:rsidRPr="00D93506" w:rsidRDefault="009B11DB" w:rsidP="006A7649">
      <w:pPr>
        <w:tabs>
          <w:tab w:val="left" w:pos="2964"/>
        </w:tabs>
        <w:spacing w:line="276" w:lineRule="auto"/>
        <w:ind w:firstLine="720"/>
        <w:jc w:val="both"/>
        <w:rPr>
          <w:b/>
          <w:i/>
          <w:color w:val="FF0000"/>
          <w:szCs w:val="24"/>
        </w:rPr>
      </w:pPr>
      <w:r w:rsidRPr="00D93506">
        <w:rPr>
          <w:b/>
          <w:i/>
          <w:color w:val="FF0000"/>
          <w:szCs w:val="24"/>
        </w:rPr>
        <w:tab/>
      </w:r>
    </w:p>
    <w:p w:rsidR="00646371" w:rsidRPr="00C226BE" w:rsidRDefault="005526F4" w:rsidP="006A7649">
      <w:pPr>
        <w:spacing w:line="276" w:lineRule="auto"/>
        <w:ind w:firstLine="720"/>
        <w:jc w:val="both"/>
        <w:rPr>
          <w:b/>
          <w:szCs w:val="24"/>
        </w:rPr>
      </w:pPr>
      <w:r>
        <w:rPr>
          <w:b/>
          <w:i/>
          <w:szCs w:val="24"/>
        </w:rPr>
        <w:t>Малое</w:t>
      </w:r>
      <w:r w:rsidR="00646371" w:rsidRPr="00C226BE">
        <w:rPr>
          <w:b/>
          <w:i/>
          <w:szCs w:val="24"/>
        </w:rPr>
        <w:t xml:space="preserve"> предпринимательство</w:t>
      </w:r>
    </w:p>
    <w:p w:rsidR="00646371" w:rsidRDefault="00646371" w:rsidP="006A7649">
      <w:pPr>
        <w:tabs>
          <w:tab w:val="left" w:pos="3060"/>
        </w:tabs>
        <w:spacing w:line="276" w:lineRule="auto"/>
        <w:ind w:firstLine="720"/>
        <w:jc w:val="both"/>
        <w:rPr>
          <w:szCs w:val="24"/>
        </w:rPr>
      </w:pPr>
      <w:r w:rsidRPr="004E11A8">
        <w:rPr>
          <w:szCs w:val="24"/>
        </w:rPr>
        <w:t>Целью муниципальной политики, как и государственной, в области развития малого и среднего предпринимательства является создание благоприятных условий для предпринимательской инициативы.</w:t>
      </w:r>
    </w:p>
    <w:p w:rsidR="00646371" w:rsidRPr="00C226BE" w:rsidRDefault="00F51C1D" w:rsidP="006A7649">
      <w:pPr>
        <w:tabs>
          <w:tab w:val="left" w:pos="3060"/>
        </w:tabs>
        <w:spacing w:line="276" w:lineRule="auto"/>
        <w:ind w:firstLine="720"/>
        <w:jc w:val="both"/>
        <w:rPr>
          <w:szCs w:val="24"/>
        </w:rPr>
      </w:pPr>
      <w:r w:rsidRPr="00F51C1D">
        <w:rPr>
          <w:szCs w:val="24"/>
        </w:rPr>
        <w:t>Согласно данным маркетингового исследования ООО «Мегаполис» на тему: «Оценка потенциала развития предпринимательской деятельности Белоярского района» н</w:t>
      </w:r>
      <w:r w:rsidR="00646371" w:rsidRPr="00F51C1D">
        <w:rPr>
          <w:szCs w:val="24"/>
        </w:rPr>
        <w:t xml:space="preserve">а </w:t>
      </w:r>
      <w:r w:rsidRPr="00F51C1D">
        <w:rPr>
          <w:szCs w:val="24"/>
        </w:rPr>
        <w:t xml:space="preserve">территории Белоярского района </w:t>
      </w:r>
      <w:r w:rsidR="00646371" w:rsidRPr="00F51C1D">
        <w:rPr>
          <w:szCs w:val="24"/>
        </w:rPr>
        <w:t>осуществляют свою деятельность 1050 субъектов малого и среднего предпринимательства (906 индивидуальных предпринимателей и 144 юридических лица). Численность занятых в малом бизнесе – 4160 человек, что составляет 25,4% от общей численности всех работающих.</w:t>
      </w:r>
      <w:r w:rsidR="00646371" w:rsidRPr="00C226BE">
        <w:rPr>
          <w:szCs w:val="24"/>
        </w:rPr>
        <w:t xml:space="preserve">                                                                             </w:t>
      </w:r>
    </w:p>
    <w:p w:rsidR="00646371" w:rsidRDefault="00646371" w:rsidP="006A7649">
      <w:pPr>
        <w:tabs>
          <w:tab w:val="left" w:pos="3060"/>
        </w:tabs>
        <w:spacing w:line="276" w:lineRule="auto"/>
        <w:ind w:firstLine="720"/>
        <w:jc w:val="both"/>
        <w:rPr>
          <w:szCs w:val="24"/>
        </w:rPr>
      </w:pPr>
      <w:r w:rsidRPr="004E11A8">
        <w:rPr>
          <w:szCs w:val="24"/>
        </w:rPr>
        <w:t xml:space="preserve">Наибольшую долю в общем числе субъектов малого и среднего предпринимательства составляют предприятия оптовой и розничной торговли – 32,1%, транспортировки и хранения – 14,6%, предоставления прочих видов услуг (бытовых и персональных услуг) – 12,1%, строительства – 7%. </w:t>
      </w:r>
    </w:p>
    <w:p w:rsidR="00646371" w:rsidRPr="004E11A8" w:rsidRDefault="00646371" w:rsidP="006A7649">
      <w:pPr>
        <w:tabs>
          <w:tab w:val="left" w:pos="3060"/>
        </w:tabs>
        <w:spacing w:line="276" w:lineRule="auto"/>
        <w:ind w:firstLine="720"/>
        <w:jc w:val="both"/>
        <w:rPr>
          <w:szCs w:val="24"/>
        </w:rPr>
      </w:pPr>
      <w:r w:rsidRPr="004E11A8">
        <w:rPr>
          <w:szCs w:val="24"/>
        </w:rPr>
        <w:t xml:space="preserve">Определенную роль в развитии малого предпринимательства играет муниципальная политика, задача которой – создание правовых, административных условий для развития важных секторов экономики. </w:t>
      </w:r>
    </w:p>
    <w:p w:rsidR="00646371" w:rsidRPr="00C226BE" w:rsidRDefault="00646371" w:rsidP="006A7649">
      <w:pPr>
        <w:tabs>
          <w:tab w:val="left" w:pos="3060"/>
        </w:tabs>
        <w:spacing w:line="276" w:lineRule="auto"/>
        <w:ind w:firstLine="720"/>
        <w:jc w:val="both"/>
        <w:rPr>
          <w:szCs w:val="24"/>
        </w:rPr>
      </w:pPr>
      <w:r w:rsidRPr="004E11A8">
        <w:rPr>
          <w:szCs w:val="24"/>
        </w:rPr>
        <w:t>В этой связи на территории Белоярского района в 2019 году реализуется муниципальная программа Белоярского района «Развитие малого и среднего предпринимательства и туризма в Белоярск</w:t>
      </w:r>
      <w:r w:rsidR="003C5C8D">
        <w:rPr>
          <w:szCs w:val="24"/>
        </w:rPr>
        <w:t xml:space="preserve">ом районе на 2019 – 2024 годы». </w:t>
      </w:r>
      <w:proofErr w:type="gramStart"/>
      <w:r w:rsidRPr="004E11A8">
        <w:rPr>
          <w:szCs w:val="24"/>
        </w:rPr>
        <w:t>В рамках данной программы осуществляются: проведение образовательных мероприятий, выставок, ярмарок; предоставление субсидий на возмещение затрат субъектам малого и среднего предпринимательства, осуществляющим социально-значимые виды деятельности на территории Белоярского района, осуществляющим деятельность в социальной сфере; на развитие молодежного предпринимательства и финансовую поддержку начинающих предпринимателей; возмещение части затрат по арендным платежам за нежилые помещения;</w:t>
      </w:r>
      <w:proofErr w:type="gramEnd"/>
      <w:r w:rsidRPr="004E11A8">
        <w:rPr>
          <w:szCs w:val="24"/>
        </w:rPr>
        <w:t xml:space="preserve"> возмещение части затрат по приобретению оборудования (основных средств) и лицензионных программных продуктов; возмещение части затрат на доставку муки и другое. </w:t>
      </w:r>
    </w:p>
    <w:p w:rsidR="00646371" w:rsidRDefault="00646371" w:rsidP="006A7649">
      <w:pPr>
        <w:tabs>
          <w:tab w:val="left" w:pos="3060"/>
        </w:tabs>
        <w:spacing w:line="276" w:lineRule="auto"/>
        <w:ind w:firstLine="720"/>
        <w:jc w:val="both"/>
        <w:rPr>
          <w:szCs w:val="24"/>
        </w:rPr>
      </w:pPr>
      <w:r w:rsidRPr="004E11A8">
        <w:rPr>
          <w:szCs w:val="24"/>
        </w:rPr>
        <w:t xml:space="preserve">Для создания условий развития малого бизнеса планируемый объем финансовой поддержки в 2019 году составит 9,927 млн. рублей, из них 4,976 млн. руб. за счет средств бюджета Белоярского района и 4,951 млн. руб. за счет средств бюджета Ханты-Мансийского автономного округа – Югры. </w:t>
      </w:r>
    </w:p>
    <w:p w:rsidR="00646371" w:rsidRPr="00A5262F" w:rsidRDefault="00BF594B" w:rsidP="006A7649">
      <w:pPr>
        <w:tabs>
          <w:tab w:val="left" w:pos="3060"/>
        </w:tabs>
        <w:spacing w:line="276" w:lineRule="auto"/>
        <w:ind w:firstLine="720"/>
        <w:jc w:val="both"/>
        <w:rPr>
          <w:szCs w:val="24"/>
        </w:rPr>
      </w:pPr>
      <w:r>
        <w:rPr>
          <w:szCs w:val="24"/>
        </w:rPr>
        <w:t>С начала</w:t>
      </w:r>
      <w:r w:rsidR="00646371" w:rsidRPr="00A5262F">
        <w:rPr>
          <w:szCs w:val="24"/>
        </w:rPr>
        <w:t xml:space="preserve"> 2019 года финансовая поддержка оказана 52 субъектам малого и среднего предпринимательства, 163 субъекта малого и среднего предпринимательства получили </w:t>
      </w:r>
      <w:r w:rsidR="00646371" w:rsidRPr="00A5262F">
        <w:rPr>
          <w:szCs w:val="24"/>
        </w:rPr>
        <w:lastRenderedPageBreak/>
        <w:t>информационно-консультационную поддержку, проведено 55 мероприятий для субъектов малого бизнеса и лиц, желающих ими стать.</w:t>
      </w:r>
    </w:p>
    <w:p w:rsidR="00646371" w:rsidRPr="00A5262F" w:rsidRDefault="00646371" w:rsidP="006A7649">
      <w:pPr>
        <w:tabs>
          <w:tab w:val="left" w:pos="3060"/>
        </w:tabs>
        <w:spacing w:line="276" w:lineRule="auto"/>
        <w:ind w:firstLine="720"/>
        <w:jc w:val="both"/>
        <w:rPr>
          <w:szCs w:val="24"/>
        </w:rPr>
      </w:pPr>
      <w:r w:rsidRPr="00C226BE">
        <w:rPr>
          <w:szCs w:val="24"/>
        </w:rPr>
        <w:t xml:space="preserve">В целях совершенствования механизмов поддержки предпринимательства и обеспечения доступности финансовой поддержки для субъектов малого и среднего предпринимательства реализована возможность подавать заявления на предоставления субсидий в электронном </w:t>
      </w:r>
      <w:proofErr w:type="gramStart"/>
      <w:r w:rsidRPr="00C226BE">
        <w:rPr>
          <w:szCs w:val="24"/>
        </w:rPr>
        <w:t>виде</w:t>
      </w:r>
      <w:proofErr w:type="gramEnd"/>
      <w:r w:rsidRPr="00C226BE">
        <w:rPr>
          <w:szCs w:val="24"/>
        </w:rPr>
        <w:t xml:space="preserve"> и созданы новые направления поддержки: </w:t>
      </w:r>
    </w:p>
    <w:p w:rsidR="00646371" w:rsidRPr="00C226BE" w:rsidRDefault="00646371" w:rsidP="006A7649">
      <w:pPr>
        <w:pStyle w:val="a7"/>
        <w:numPr>
          <w:ilvl w:val="0"/>
          <w:numId w:val="28"/>
        </w:numPr>
        <w:tabs>
          <w:tab w:val="left" w:pos="993"/>
        </w:tabs>
        <w:spacing w:line="276" w:lineRule="auto"/>
        <w:ind w:left="0" w:firstLine="709"/>
        <w:jc w:val="both"/>
        <w:rPr>
          <w:sz w:val="24"/>
          <w:szCs w:val="24"/>
        </w:rPr>
      </w:pPr>
      <w:r w:rsidRPr="00C226BE">
        <w:rPr>
          <w:sz w:val="24"/>
          <w:szCs w:val="24"/>
        </w:rPr>
        <w:t>возмещение части затрат на приобретение сырья, расходных материалов и инструментов, необходимых для производства продукции и изделий народных художественных промыслов и ремесел;</w:t>
      </w:r>
    </w:p>
    <w:p w:rsidR="00646371" w:rsidRPr="00C226BE" w:rsidRDefault="00646371" w:rsidP="006A7649">
      <w:pPr>
        <w:pStyle w:val="a7"/>
        <w:numPr>
          <w:ilvl w:val="0"/>
          <w:numId w:val="28"/>
        </w:numPr>
        <w:tabs>
          <w:tab w:val="left" w:pos="993"/>
        </w:tabs>
        <w:spacing w:line="276" w:lineRule="auto"/>
        <w:ind w:left="0" w:firstLine="709"/>
        <w:jc w:val="both"/>
        <w:rPr>
          <w:sz w:val="24"/>
          <w:szCs w:val="24"/>
        </w:rPr>
      </w:pPr>
      <w:r w:rsidRPr="00C226BE">
        <w:rPr>
          <w:sz w:val="24"/>
          <w:szCs w:val="24"/>
        </w:rPr>
        <w:t>финансовая поддержка начинающих предпринимателей, осуществляющих деятельность в социально значимых видах деятельности на территории Белоярского района.</w:t>
      </w:r>
    </w:p>
    <w:p w:rsidR="00646371" w:rsidRPr="00C226BE" w:rsidRDefault="00646371" w:rsidP="006A7649">
      <w:pPr>
        <w:tabs>
          <w:tab w:val="left" w:pos="993"/>
        </w:tabs>
        <w:spacing w:line="276" w:lineRule="auto"/>
        <w:ind w:firstLine="709"/>
        <w:jc w:val="both"/>
        <w:rPr>
          <w:szCs w:val="24"/>
        </w:rPr>
      </w:pPr>
      <w:r w:rsidRPr="00C226BE">
        <w:rPr>
          <w:szCs w:val="24"/>
        </w:rPr>
        <w:t>В 2019 году на территории Белоярского района состоялись: рабочая встреча представителей Департамента экономического развития ХМАО-Югры – отдела лицензирования с представителями администрации и предпринимательского сообщества Белоярского района с охватом 21 субъект; проведена встреча-консультация по вопросам защиты прав и законных интересов субъектов предпринимательской деятельности совместно с общественными представителями Уполномоченного по защите прав предпринимателей в ХМАО-Югре, при участии представителей органов прокуратуры и налоговой инспекции.</w:t>
      </w:r>
    </w:p>
    <w:p w:rsidR="00646371" w:rsidRPr="00C527C1" w:rsidRDefault="00646371" w:rsidP="006A7649">
      <w:pPr>
        <w:spacing w:line="276" w:lineRule="auto"/>
        <w:ind w:firstLine="709"/>
        <w:jc w:val="both"/>
        <w:rPr>
          <w:szCs w:val="24"/>
        </w:rPr>
      </w:pPr>
      <w:r w:rsidRPr="00C527C1">
        <w:rPr>
          <w:szCs w:val="24"/>
        </w:rPr>
        <w:t>За счет мероприятий по поддержке субъектов малого и среднего предпринимательства в 2020-2022 годах прогнозируется сохранение численности занятых в сфере малого бизнеса: в 2020 году численность заняты</w:t>
      </w:r>
      <w:r>
        <w:rPr>
          <w:szCs w:val="24"/>
        </w:rPr>
        <w:t>х составит 4 162</w:t>
      </w:r>
      <w:r w:rsidRPr="00C527C1">
        <w:rPr>
          <w:szCs w:val="24"/>
        </w:rPr>
        <w:t xml:space="preserve"> человек, </w:t>
      </w:r>
      <w:r>
        <w:rPr>
          <w:szCs w:val="24"/>
        </w:rPr>
        <w:t xml:space="preserve">в 2021 году – 4 164 человека, </w:t>
      </w:r>
      <w:r w:rsidRPr="00C527C1">
        <w:rPr>
          <w:szCs w:val="24"/>
        </w:rPr>
        <w:t>в 2022 году - 4166 человек. Отраслевая структура субъектов малого бизнеса в прогнозном периоде 2020-2022 годов не изменится.</w:t>
      </w:r>
    </w:p>
    <w:p w:rsidR="005526F4" w:rsidRPr="005526F4" w:rsidRDefault="005526F4" w:rsidP="006A7649">
      <w:pPr>
        <w:tabs>
          <w:tab w:val="left" w:pos="993"/>
        </w:tabs>
        <w:spacing w:line="276" w:lineRule="auto"/>
        <w:ind w:firstLine="709"/>
        <w:jc w:val="both"/>
        <w:rPr>
          <w:szCs w:val="24"/>
        </w:rPr>
      </w:pPr>
      <w:r w:rsidRPr="005526F4">
        <w:rPr>
          <w:szCs w:val="24"/>
        </w:rPr>
        <w:t>В соответствии с перечнем социально значимых видов деятельности, осуществляемых субъектами малого и среднего предпринимательства на территории Белоярского района, одним из приоритетных направлений является предоставление туристических экскурсионных услуг.</w:t>
      </w:r>
    </w:p>
    <w:p w:rsidR="005526F4" w:rsidRPr="005526F4" w:rsidRDefault="005526F4" w:rsidP="006A7649">
      <w:pPr>
        <w:tabs>
          <w:tab w:val="left" w:pos="993"/>
        </w:tabs>
        <w:spacing w:line="276" w:lineRule="auto"/>
        <w:ind w:firstLine="709"/>
        <w:jc w:val="both"/>
        <w:rPr>
          <w:szCs w:val="24"/>
        </w:rPr>
      </w:pPr>
      <w:r w:rsidRPr="005526F4">
        <w:rPr>
          <w:szCs w:val="24"/>
        </w:rPr>
        <w:t>В настоящее время на территории Белоярского района реализуется муниципальный проект «Формирование, развитие и сопровождение узнаваемого бренда Белоярского района» (</w:t>
      </w:r>
      <w:proofErr w:type="spellStart"/>
      <w:r w:rsidRPr="005526F4">
        <w:rPr>
          <w:szCs w:val="24"/>
        </w:rPr>
        <w:t>Брендирование</w:t>
      </w:r>
      <w:proofErr w:type="spellEnd"/>
      <w:r w:rsidRPr="005526F4">
        <w:rPr>
          <w:szCs w:val="24"/>
        </w:rPr>
        <w:t xml:space="preserve"> Белоярского района), предусматривающий и развитие туристического сектора. В июне 2019 года состоялся первый этап стратегической сессии «Брэндинг как инструмент продвижения и демонстрации идентичности территории Белоярского района», направленной на первоначальный сбор мыслей о базовых смыслах территории муниципального образования в рамках муниципального проекта с участием 62 человек. В ноябре 2019 года запланировано проведение второго этапа стратегической сессии, направленной на доработку конкретных идей, механизмов их внедрения и продвижения.</w:t>
      </w:r>
    </w:p>
    <w:p w:rsidR="005526F4" w:rsidRPr="005526F4" w:rsidRDefault="005526F4" w:rsidP="006A7649">
      <w:pPr>
        <w:tabs>
          <w:tab w:val="left" w:pos="993"/>
        </w:tabs>
        <w:spacing w:line="276" w:lineRule="auto"/>
        <w:ind w:firstLine="709"/>
        <w:jc w:val="both"/>
        <w:rPr>
          <w:szCs w:val="24"/>
        </w:rPr>
      </w:pPr>
      <w:proofErr w:type="gramStart"/>
      <w:r w:rsidRPr="005526F4">
        <w:rPr>
          <w:szCs w:val="24"/>
        </w:rPr>
        <w:t xml:space="preserve">Совместно с соисполнителями проекта (МАУК «Белоярский выставочный зал») разработаны: городской маршрут «Белоярский: жить здесь и сейчас», внутрирайонный маршрут-экскурсия «Обзорная экскурсии по городу Белоярский и по пути следования в с. Казым «Белоярский, Казым – история края». </w:t>
      </w:r>
      <w:proofErr w:type="gramEnd"/>
    </w:p>
    <w:p w:rsidR="005526F4" w:rsidRPr="005526F4" w:rsidRDefault="005526F4" w:rsidP="006A7649">
      <w:pPr>
        <w:tabs>
          <w:tab w:val="left" w:pos="993"/>
        </w:tabs>
        <w:spacing w:line="276" w:lineRule="auto"/>
        <w:ind w:firstLine="709"/>
        <w:jc w:val="both"/>
        <w:rPr>
          <w:szCs w:val="24"/>
        </w:rPr>
      </w:pPr>
      <w:r w:rsidRPr="005526F4">
        <w:rPr>
          <w:szCs w:val="24"/>
        </w:rPr>
        <w:t xml:space="preserve">Местные маршруты были апробированы экскурсоводами на небольших туристических группах. В настоящее время ведется сотрудничество с администрацией Октябрьского района по созданию межмуниципального туристического маршрута. </w:t>
      </w:r>
      <w:r w:rsidRPr="005526F4">
        <w:rPr>
          <w:szCs w:val="24"/>
        </w:rPr>
        <w:lastRenderedPageBreak/>
        <w:t>Разработан проект культурно-познавательного маршрута религиозной направленности, также совместно с ООО «</w:t>
      </w:r>
      <w:proofErr w:type="spellStart"/>
      <w:r w:rsidRPr="005526F4">
        <w:rPr>
          <w:szCs w:val="24"/>
        </w:rPr>
        <w:t>ЮграМегаТур</w:t>
      </w:r>
      <w:proofErr w:type="spellEnd"/>
      <w:r w:rsidRPr="005526F4">
        <w:rPr>
          <w:szCs w:val="24"/>
        </w:rPr>
        <w:t>» ведется работа по включению объектов туристской индустрии Белоярского района в региональные маршруты.</w:t>
      </w:r>
    </w:p>
    <w:p w:rsidR="005526F4" w:rsidRPr="005526F4" w:rsidRDefault="005526F4" w:rsidP="006A7649">
      <w:pPr>
        <w:tabs>
          <w:tab w:val="left" w:pos="993"/>
        </w:tabs>
        <w:spacing w:line="276" w:lineRule="auto"/>
        <w:ind w:firstLine="709"/>
        <w:jc w:val="both"/>
        <w:rPr>
          <w:szCs w:val="24"/>
        </w:rPr>
      </w:pPr>
      <w:r w:rsidRPr="005526F4">
        <w:rPr>
          <w:szCs w:val="24"/>
        </w:rPr>
        <w:t>На сегодняшний день туристская деятельность в Белоярском районе находится в стадии развития. В сфере туризма или его организации осуществляют деятельность более 15 хозяйствующих субъектов. Общий экскурсионно-туристический поток за 9 месяцев 2019 года составил 21 212 человек (за аналогичный период 2018 года – 20 258 человек).</w:t>
      </w:r>
    </w:p>
    <w:p w:rsidR="005526F4" w:rsidRPr="005526F4" w:rsidRDefault="005526F4" w:rsidP="006A7649">
      <w:pPr>
        <w:tabs>
          <w:tab w:val="left" w:pos="993"/>
        </w:tabs>
        <w:spacing w:line="276" w:lineRule="auto"/>
        <w:ind w:firstLine="709"/>
        <w:jc w:val="both"/>
        <w:rPr>
          <w:szCs w:val="24"/>
        </w:rPr>
      </w:pPr>
      <w:r w:rsidRPr="005526F4">
        <w:rPr>
          <w:szCs w:val="24"/>
        </w:rPr>
        <w:t>С начала 2019 года проведен ряд мероприятий в области туризма. Представители туриндустрии неоднократно представляли территорию Белоярского района на межмуниципальном, районном, межрайоном, межрегиональном уровнях, занимая призовые места.</w:t>
      </w:r>
    </w:p>
    <w:p w:rsidR="00231191" w:rsidRPr="00D93506" w:rsidRDefault="00231191" w:rsidP="006A7649">
      <w:pPr>
        <w:spacing w:line="276" w:lineRule="auto"/>
        <w:jc w:val="center"/>
        <w:rPr>
          <w:b/>
          <w:color w:val="FF0000"/>
          <w:szCs w:val="24"/>
        </w:rPr>
      </w:pPr>
    </w:p>
    <w:p w:rsidR="0021102A" w:rsidRPr="00365936" w:rsidRDefault="0021102A" w:rsidP="006A7649">
      <w:pPr>
        <w:spacing w:line="276" w:lineRule="auto"/>
        <w:jc w:val="center"/>
        <w:rPr>
          <w:b/>
          <w:szCs w:val="24"/>
        </w:rPr>
      </w:pPr>
      <w:r w:rsidRPr="00365936">
        <w:rPr>
          <w:b/>
          <w:szCs w:val="24"/>
        </w:rPr>
        <w:t>Уровень жизни населения</w:t>
      </w:r>
    </w:p>
    <w:p w:rsidR="0021102A" w:rsidRPr="00235CD0" w:rsidRDefault="0021102A" w:rsidP="006A7649">
      <w:pPr>
        <w:spacing w:line="276" w:lineRule="auto"/>
        <w:jc w:val="both"/>
        <w:rPr>
          <w:b/>
          <w:color w:val="FF0000"/>
          <w:szCs w:val="24"/>
        </w:rPr>
      </w:pPr>
    </w:p>
    <w:p w:rsidR="0021102A" w:rsidRPr="00235CD0" w:rsidRDefault="0021102A" w:rsidP="006A7649">
      <w:pPr>
        <w:widowControl w:val="0"/>
        <w:spacing w:line="276" w:lineRule="auto"/>
        <w:ind w:firstLine="709"/>
        <w:jc w:val="both"/>
        <w:rPr>
          <w:bCs/>
          <w:szCs w:val="24"/>
        </w:rPr>
      </w:pPr>
      <w:r w:rsidRPr="00235CD0">
        <w:rPr>
          <w:szCs w:val="24"/>
        </w:rPr>
        <w:t xml:space="preserve">Стабильный экономический рост, реализация стратегических направлений развития Белоярского района на среднесрочную и долгосрочную перспективу являются основой для достижения новых стандартов уровня и качества жизни населения, преобразований социальной сферы. Повышение уровня жизни населения, обеспечение социального благополучия рассматривается администрацией Белоярского района как важнейший фактор </w:t>
      </w:r>
      <w:r w:rsidRPr="00235CD0">
        <w:rPr>
          <w:bCs/>
          <w:szCs w:val="24"/>
        </w:rPr>
        <w:t>оценки эффективности социально-экономической политики и основной индикатор социально-экономического состояния общества.</w:t>
      </w:r>
    </w:p>
    <w:p w:rsidR="0021102A" w:rsidRPr="00235CD0" w:rsidRDefault="0021102A" w:rsidP="006A7649">
      <w:pPr>
        <w:widowControl w:val="0"/>
        <w:spacing w:line="276" w:lineRule="auto"/>
        <w:ind w:firstLine="709"/>
        <w:jc w:val="both"/>
        <w:rPr>
          <w:rFonts w:ascii="Arial" w:hAnsi="Arial" w:cs="Arial"/>
          <w:bCs/>
          <w:szCs w:val="24"/>
        </w:rPr>
      </w:pPr>
      <w:r w:rsidRPr="00235CD0">
        <w:rPr>
          <w:bCs/>
          <w:szCs w:val="24"/>
        </w:rPr>
        <w:t>Важнейшим показателем благосостояния общества служит уровень доходов населения.</w:t>
      </w:r>
      <w:r w:rsidRPr="00235CD0">
        <w:rPr>
          <w:rFonts w:ascii="Arial" w:hAnsi="Arial" w:cs="Arial"/>
          <w:bCs/>
          <w:szCs w:val="24"/>
        </w:rPr>
        <w:t xml:space="preserve"> </w:t>
      </w:r>
    </w:p>
    <w:p w:rsidR="0021102A" w:rsidRPr="00235CD0" w:rsidRDefault="0021102A" w:rsidP="006A7649">
      <w:pPr>
        <w:spacing w:line="276" w:lineRule="auto"/>
        <w:ind w:firstLine="720"/>
        <w:jc w:val="both"/>
        <w:rPr>
          <w:color w:val="FF0000"/>
          <w:szCs w:val="24"/>
        </w:rPr>
      </w:pPr>
      <w:r w:rsidRPr="00235CD0">
        <w:rPr>
          <w:szCs w:val="24"/>
        </w:rPr>
        <w:t xml:space="preserve">Среднедушевые денежные доходы населения Белоярского района за 2018 год </w:t>
      </w:r>
      <w:proofErr w:type="gramStart"/>
      <w:r w:rsidRPr="00235CD0">
        <w:rPr>
          <w:szCs w:val="24"/>
        </w:rPr>
        <w:t>со-ставили</w:t>
      </w:r>
      <w:proofErr w:type="gramEnd"/>
      <w:r w:rsidRPr="00235CD0">
        <w:rPr>
          <w:szCs w:val="24"/>
        </w:rPr>
        <w:t xml:space="preserve"> 54 202 руб., увеличившись на 4,4% к уровню 2017 года. </w:t>
      </w:r>
      <w:r w:rsidRPr="00235CD0">
        <w:rPr>
          <w:bCs/>
          <w:szCs w:val="24"/>
        </w:rPr>
        <w:t>О</w:t>
      </w:r>
      <w:r w:rsidRPr="00235CD0">
        <w:rPr>
          <w:szCs w:val="24"/>
        </w:rPr>
        <w:t>жидаемые среднедушевые доходы населения в 2019 году – 54 954 руб., темп роста к уровню  2018 года составит 101,4%. Темп роста среднедушевых денежных доходов в прогнозном 2020 году составит 101,6%, в 2021 году – 101,8%, в  2022 году – 101,4%.</w:t>
      </w:r>
    </w:p>
    <w:p w:rsidR="0021102A" w:rsidRPr="00235CD0" w:rsidRDefault="0021102A" w:rsidP="006A7649">
      <w:pPr>
        <w:spacing w:line="276" w:lineRule="auto"/>
        <w:ind w:firstLine="720"/>
        <w:jc w:val="right"/>
        <w:rPr>
          <w:szCs w:val="24"/>
        </w:rPr>
      </w:pPr>
      <w:r w:rsidRPr="00235CD0">
        <w:rPr>
          <w:szCs w:val="24"/>
        </w:rPr>
        <w:t>Диаграмма</w:t>
      </w:r>
      <w:r w:rsidR="00E9683B">
        <w:rPr>
          <w:szCs w:val="24"/>
        </w:rPr>
        <w:t xml:space="preserve"> 8</w:t>
      </w:r>
    </w:p>
    <w:p w:rsidR="0021102A" w:rsidRPr="00235CD0" w:rsidRDefault="0021102A" w:rsidP="006A7649">
      <w:pPr>
        <w:spacing w:line="276" w:lineRule="auto"/>
        <w:rPr>
          <w:bCs/>
          <w:color w:val="FF0000"/>
          <w:szCs w:val="24"/>
        </w:rPr>
      </w:pPr>
      <w:r>
        <w:rPr>
          <w:noProof/>
        </w:rPr>
        <w:drawing>
          <wp:inline distT="0" distB="0" distL="0" distR="0" wp14:anchorId="05432D37" wp14:editId="7D2A3EFD">
            <wp:extent cx="5940425" cy="2797009"/>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102A" w:rsidRPr="00235CD0" w:rsidRDefault="0021102A" w:rsidP="006A7649">
      <w:pPr>
        <w:spacing w:line="276" w:lineRule="auto"/>
        <w:ind w:firstLine="708"/>
        <w:jc w:val="both"/>
        <w:rPr>
          <w:szCs w:val="24"/>
        </w:rPr>
      </w:pPr>
      <w:r w:rsidRPr="00235CD0">
        <w:rPr>
          <w:szCs w:val="24"/>
        </w:rPr>
        <w:t xml:space="preserve">Основную статью денежных доходов населения составляет заработная плата </w:t>
      </w:r>
      <w:proofErr w:type="spellStart"/>
      <w:proofErr w:type="gramStart"/>
      <w:r w:rsidRPr="00235CD0">
        <w:rPr>
          <w:szCs w:val="24"/>
        </w:rPr>
        <w:t>рабо</w:t>
      </w:r>
      <w:proofErr w:type="spellEnd"/>
      <w:r w:rsidRPr="00235CD0">
        <w:rPr>
          <w:szCs w:val="24"/>
        </w:rPr>
        <w:t>-тающего</w:t>
      </w:r>
      <w:proofErr w:type="gramEnd"/>
      <w:r w:rsidRPr="00235CD0">
        <w:rPr>
          <w:szCs w:val="24"/>
        </w:rPr>
        <w:t xml:space="preserve"> населения. Среднемесячная заработная плата одного работника по крупным и средним предприятиям за 2018 год сложилась в размере 90 651 руб., увеличившись на </w:t>
      </w:r>
      <w:r w:rsidRPr="00235CD0">
        <w:rPr>
          <w:szCs w:val="24"/>
        </w:rPr>
        <w:lastRenderedPageBreak/>
        <w:t>9,2% к уровню 2017 года. Среднемесячная номинальная начисленная заработная плата одного работника по крупным и средним предприятиям за 2019 год оценочно составит 92 169,4 руб., увеличившись на 1,7% к уровню 2018 года, что связано в первую очередь с достижением в 2018 году целевых показателей повышения оплаты труда отдельных категорий работников бюджетной сферы. В прогнозные 2020-2022 годы рост среднемесячной заработной платы составит 103,5-104% соответственно.</w:t>
      </w:r>
      <w:r w:rsidRPr="00235CD0">
        <w:rPr>
          <w:sz w:val="26"/>
          <w:szCs w:val="26"/>
        </w:rPr>
        <w:t xml:space="preserve"> </w:t>
      </w:r>
    </w:p>
    <w:p w:rsidR="006A7649" w:rsidRDefault="006A7649" w:rsidP="00F046A2">
      <w:pPr>
        <w:widowControl w:val="0"/>
        <w:spacing w:line="276" w:lineRule="auto"/>
        <w:rPr>
          <w:bCs/>
          <w:szCs w:val="24"/>
        </w:rPr>
      </w:pPr>
    </w:p>
    <w:p w:rsidR="0021102A" w:rsidRPr="00235CD0" w:rsidRDefault="0021102A" w:rsidP="006A7649">
      <w:pPr>
        <w:widowControl w:val="0"/>
        <w:spacing w:line="276" w:lineRule="auto"/>
        <w:jc w:val="right"/>
        <w:rPr>
          <w:bCs/>
          <w:szCs w:val="24"/>
        </w:rPr>
      </w:pPr>
      <w:r w:rsidRPr="00235CD0">
        <w:rPr>
          <w:bCs/>
          <w:szCs w:val="24"/>
        </w:rPr>
        <w:t>Диаграмма</w:t>
      </w:r>
      <w:r w:rsidR="00E9683B">
        <w:rPr>
          <w:bCs/>
          <w:szCs w:val="24"/>
        </w:rPr>
        <w:t xml:space="preserve"> 9</w:t>
      </w:r>
    </w:p>
    <w:p w:rsidR="0021102A" w:rsidRPr="00365936" w:rsidRDefault="0084721D" w:rsidP="006A7649">
      <w:pPr>
        <w:autoSpaceDE w:val="0"/>
        <w:autoSpaceDN w:val="0"/>
        <w:adjustRightInd w:val="0"/>
        <w:spacing w:line="276" w:lineRule="auto"/>
        <w:jc w:val="both"/>
        <w:rPr>
          <w:szCs w:val="24"/>
        </w:rPr>
      </w:pPr>
      <w:r>
        <w:rPr>
          <w:noProof/>
        </w:rPr>
        <w:drawing>
          <wp:inline distT="0" distB="0" distL="0" distR="0" wp14:anchorId="58BF6FF6" wp14:editId="43371A8A">
            <wp:extent cx="5516880" cy="337566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25C8" w:rsidRPr="00C61148" w:rsidRDefault="00C825C8" w:rsidP="006A7649">
      <w:pPr>
        <w:spacing w:line="276" w:lineRule="auto"/>
        <w:ind w:firstLine="709"/>
        <w:jc w:val="both"/>
        <w:rPr>
          <w:szCs w:val="24"/>
        </w:rPr>
      </w:pPr>
      <w:r w:rsidRPr="005606A2">
        <w:rPr>
          <w:szCs w:val="24"/>
        </w:rPr>
        <w:t>Численность получателей трудовых пенсий в Белоярском районе на 1 октября 2019 года составила 6338 чел., или 22,4 % от общей численности постоянного населения Белоярского района.</w:t>
      </w:r>
      <w:r>
        <w:rPr>
          <w:szCs w:val="24"/>
        </w:rPr>
        <w:t xml:space="preserve"> </w:t>
      </w:r>
      <w:r w:rsidRPr="00C61148">
        <w:rPr>
          <w:szCs w:val="24"/>
        </w:rPr>
        <w:t>Средний размер назначенной страховой пенсии по району на 1 октября 2019 года составил 20 872 руб., что в 1,8 раза превышает бюджет прожиточного минимума пенсионера.</w:t>
      </w:r>
      <w:r>
        <w:rPr>
          <w:szCs w:val="24"/>
        </w:rPr>
        <w:t xml:space="preserve"> </w:t>
      </w:r>
      <w:r w:rsidRPr="00C61148">
        <w:rPr>
          <w:szCs w:val="24"/>
        </w:rPr>
        <w:t>Доля среднего размера трудовой пенсии по старости от среднего размера заработной платы работающего за 9 месяцев 2019 года составила 22%.</w:t>
      </w:r>
    </w:p>
    <w:p w:rsidR="0021102A" w:rsidRPr="00365936" w:rsidRDefault="0021102A" w:rsidP="006A7649">
      <w:pPr>
        <w:spacing w:line="276" w:lineRule="auto"/>
        <w:ind w:firstLine="709"/>
        <w:jc w:val="both"/>
        <w:rPr>
          <w:szCs w:val="24"/>
        </w:rPr>
      </w:pPr>
      <w:r w:rsidRPr="00365936">
        <w:rPr>
          <w:szCs w:val="24"/>
        </w:rPr>
        <w:t>Учитывая целевую задачу по росту пенсионного обеспечения выше уровня инфляции, изменен порядок индексации страховых пенсий  – в 2019-2022 годах страховая пенсия и фиксированная выплата к ней для неработающих пенсионеров будут индексироваться ежегодно с 1 января. Также, принимая во внимание систему дополнительного пенсионного обеспечения, созданную в Югре, предусматривающую пожизненное назначение дополнительной пенсии для отдельных категорий граждан, средний размер дохода пенсионера к 2022 году обеспечит 2 величины прожиточного минимума пенсионера.</w:t>
      </w:r>
    </w:p>
    <w:p w:rsidR="0029298D" w:rsidRPr="00D93506" w:rsidRDefault="0029298D" w:rsidP="006A7649">
      <w:pPr>
        <w:spacing w:line="276" w:lineRule="auto"/>
        <w:jc w:val="both"/>
        <w:rPr>
          <w:color w:val="FF0000"/>
          <w:szCs w:val="24"/>
        </w:rPr>
      </w:pPr>
    </w:p>
    <w:p w:rsidR="0029298D" w:rsidRPr="004116B5" w:rsidRDefault="0029298D" w:rsidP="006A7649">
      <w:pPr>
        <w:spacing w:line="276" w:lineRule="auto"/>
        <w:ind w:left="-567" w:firstLine="425"/>
        <w:jc w:val="center"/>
        <w:rPr>
          <w:b/>
          <w:szCs w:val="24"/>
        </w:rPr>
      </w:pPr>
      <w:r w:rsidRPr="004116B5">
        <w:rPr>
          <w:b/>
          <w:szCs w:val="24"/>
        </w:rPr>
        <w:t>Труд и занятость</w:t>
      </w:r>
    </w:p>
    <w:p w:rsidR="009A6A05" w:rsidRPr="00D93506" w:rsidRDefault="009A6A05" w:rsidP="006A7649">
      <w:pPr>
        <w:spacing w:line="276" w:lineRule="auto"/>
        <w:ind w:left="-567" w:firstLine="425"/>
        <w:jc w:val="center"/>
        <w:rPr>
          <w:b/>
          <w:color w:val="FF0000"/>
          <w:szCs w:val="24"/>
        </w:rPr>
      </w:pPr>
    </w:p>
    <w:p w:rsidR="00FD3F3B" w:rsidRPr="004116B5" w:rsidRDefault="00FD3F3B" w:rsidP="006A7649">
      <w:pPr>
        <w:spacing w:line="276" w:lineRule="auto"/>
        <w:ind w:firstLine="720"/>
        <w:jc w:val="both"/>
        <w:rPr>
          <w:szCs w:val="24"/>
        </w:rPr>
      </w:pPr>
      <w:r w:rsidRPr="004116B5">
        <w:rPr>
          <w:szCs w:val="24"/>
        </w:rPr>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w:t>
      </w:r>
      <w:r w:rsidR="00777294" w:rsidRPr="004116B5">
        <w:rPr>
          <w:szCs w:val="24"/>
        </w:rPr>
        <w:t>ленности населения составляет 6</w:t>
      </w:r>
      <w:r w:rsidR="00E21D89">
        <w:rPr>
          <w:szCs w:val="24"/>
        </w:rPr>
        <w:t>1</w:t>
      </w:r>
      <w:r w:rsidR="00777294" w:rsidRPr="004116B5">
        <w:rPr>
          <w:szCs w:val="24"/>
        </w:rPr>
        <w:t xml:space="preserve"> </w:t>
      </w:r>
      <w:r w:rsidR="00427919" w:rsidRPr="004116B5">
        <w:rPr>
          <w:szCs w:val="24"/>
        </w:rPr>
        <w:t>%</w:t>
      </w:r>
      <w:r w:rsidRPr="004116B5">
        <w:rPr>
          <w:szCs w:val="24"/>
        </w:rPr>
        <w:t xml:space="preserve">. </w:t>
      </w:r>
    </w:p>
    <w:p w:rsidR="00E9683B" w:rsidRDefault="00FD3F3B" w:rsidP="00F046A2">
      <w:pPr>
        <w:spacing w:line="276" w:lineRule="auto"/>
        <w:ind w:firstLine="708"/>
        <w:jc w:val="both"/>
        <w:rPr>
          <w:szCs w:val="24"/>
        </w:rPr>
      </w:pPr>
      <w:r w:rsidRPr="004116B5">
        <w:rPr>
          <w:szCs w:val="24"/>
        </w:rPr>
        <w:lastRenderedPageBreak/>
        <w:t xml:space="preserve"> В 201</w:t>
      </w:r>
      <w:r w:rsidR="00FB75CA" w:rsidRPr="004116B5">
        <w:rPr>
          <w:szCs w:val="24"/>
        </w:rPr>
        <w:t>8</w:t>
      </w:r>
      <w:r w:rsidR="00C53F97" w:rsidRPr="004116B5">
        <w:rPr>
          <w:szCs w:val="24"/>
        </w:rPr>
        <w:t xml:space="preserve"> году доля занятых в экономике </w:t>
      </w:r>
      <w:r w:rsidRPr="004116B5">
        <w:rPr>
          <w:szCs w:val="24"/>
        </w:rPr>
        <w:t xml:space="preserve">составила </w:t>
      </w:r>
      <w:r w:rsidR="00FB75CA" w:rsidRPr="004116B5">
        <w:rPr>
          <w:szCs w:val="24"/>
        </w:rPr>
        <w:t>95</w:t>
      </w:r>
      <w:r w:rsidRPr="004116B5">
        <w:rPr>
          <w:szCs w:val="24"/>
        </w:rPr>
        <w:t xml:space="preserve">% от экономически активного населения. </w:t>
      </w:r>
      <w:r w:rsidR="00EC1D09" w:rsidRPr="004116B5">
        <w:rPr>
          <w:szCs w:val="24"/>
        </w:rPr>
        <w:t>Наибольший удельный вес среди занятых в экономике по крупным и средним предприятиям з</w:t>
      </w:r>
      <w:r w:rsidR="00FB75CA" w:rsidRPr="004116B5">
        <w:rPr>
          <w:szCs w:val="24"/>
        </w:rPr>
        <w:t>анимают предприятия транспортировки и хранения – 34</w:t>
      </w:r>
      <w:r w:rsidR="00EC1D09" w:rsidRPr="004116B5">
        <w:rPr>
          <w:szCs w:val="24"/>
        </w:rPr>
        <w:t xml:space="preserve"> %, на долю занятых в добыче п</w:t>
      </w:r>
      <w:r w:rsidR="00FB75CA" w:rsidRPr="004116B5">
        <w:rPr>
          <w:szCs w:val="24"/>
        </w:rPr>
        <w:t>олезных ископаемых приходится 10</w:t>
      </w:r>
      <w:r w:rsidR="00EC1D09" w:rsidRPr="004116B5">
        <w:rPr>
          <w:szCs w:val="24"/>
        </w:rPr>
        <w:t>%.</w:t>
      </w:r>
    </w:p>
    <w:p w:rsidR="00F046A2" w:rsidRDefault="00F046A2" w:rsidP="006A7649">
      <w:pPr>
        <w:spacing w:line="276" w:lineRule="auto"/>
        <w:ind w:firstLine="720"/>
        <w:jc w:val="right"/>
        <w:rPr>
          <w:szCs w:val="24"/>
        </w:rPr>
      </w:pPr>
    </w:p>
    <w:p w:rsidR="0029298D" w:rsidRPr="00232C6C" w:rsidRDefault="0011064F" w:rsidP="006A7649">
      <w:pPr>
        <w:spacing w:line="276" w:lineRule="auto"/>
        <w:ind w:firstLine="720"/>
        <w:jc w:val="right"/>
        <w:rPr>
          <w:szCs w:val="24"/>
        </w:rPr>
      </w:pPr>
      <w:r w:rsidRPr="00232C6C">
        <w:rPr>
          <w:szCs w:val="24"/>
        </w:rPr>
        <w:t>Диаграмма 1</w:t>
      </w:r>
      <w:r w:rsidR="00E9683B">
        <w:rPr>
          <w:szCs w:val="24"/>
        </w:rPr>
        <w:t>0</w:t>
      </w:r>
    </w:p>
    <w:p w:rsidR="00777294" w:rsidRPr="00232C6C" w:rsidRDefault="00777294" w:rsidP="006A7649">
      <w:pPr>
        <w:spacing w:line="276" w:lineRule="auto"/>
        <w:jc w:val="center"/>
        <w:rPr>
          <w:b/>
          <w:szCs w:val="24"/>
        </w:rPr>
      </w:pPr>
      <w:r w:rsidRPr="00232C6C">
        <w:rPr>
          <w:b/>
          <w:szCs w:val="24"/>
        </w:rPr>
        <w:t>Структура занятости населения Белоярского района по основным видам экономи</w:t>
      </w:r>
      <w:r w:rsidR="00AB2712" w:rsidRPr="00232C6C">
        <w:rPr>
          <w:b/>
          <w:szCs w:val="24"/>
        </w:rPr>
        <w:t>ческой деятельности в 201</w:t>
      </w:r>
      <w:r w:rsidR="00FB75CA" w:rsidRPr="00232C6C">
        <w:rPr>
          <w:b/>
          <w:szCs w:val="24"/>
        </w:rPr>
        <w:t>8</w:t>
      </w:r>
      <w:r w:rsidR="00AB2712" w:rsidRPr="00232C6C">
        <w:rPr>
          <w:b/>
          <w:szCs w:val="24"/>
        </w:rPr>
        <w:t xml:space="preserve"> году</w:t>
      </w:r>
    </w:p>
    <w:p w:rsidR="00954B4F" w:rsidRPr="00D93506" w:rsidRDefault="00954B4F" w:rsidP="006A7649">
      <w:pPr>
        <w:spacing w:line="276" w:lineRule="auto"/>
        <w:rPr>
          <w:color w:val="FF0000"/>
          <w:szCs w:val="24"/>
        </w:rPr>
      </w:pPr>
    </w:p>
    <w:p w:rsidR="00FD3F3B" w:rsidRPr="00D93506" w:rsidRDefault="00FB75CA" w:rsidP="006A7649">
      <w:pPr>
        <w:spacing w:line="276" w:lineRule="auto"/>
        <w:jc w:val="center"/>
        <w:rPr>
          <w:color w:val="FF0000"/>
          <w:szCs w:val="24"/>
        </w:rPr>
      </w:pPr>
      <w:r w:rsidRPr="00D93506">
        <w:rPr>
          <w:noProof/>
          <w:color w:val="FF0000"/>
        </w:rPr>
        <w:drawing>
          <wp:inline distT="0" distB="0" distL="0" distR="0" wp14:anchorId="340208BC" wp14:editId="4D15DDA7">
            <wp:extent cx="5810250" cy="35623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7E55" w:rsidRPr="00F046A2" w:rsidRDefault="00FD3F3B" w:rsidP="00F046A2">
      <w:pPr>
        <w:spacing w:line="276" w:lineRule="auto"/>
        <w:ind w:firstLine="720"/>
        <w:jc w:val="both"/>
        <w:rPr>
          <w:szCs w:val="24"/>
        </w:rPr>
      </w:pPr>
      <w:proofErr w:type="gramStart"/>
      <w:r w:rsidRPr="00BD5F88">
        <w:rPr>
          <w:szCs w:val="24"/>
        </w:rPr>
        <w:t>Среднесписочная численность работников всех предприятий и организаций (по полному кругу) за 201</w:t>
      </w:r>
      <w:r w:rsidR="00FB75CA" w:rsidRPr="00BD5F88">
        <w:rPr>
          <w:szCs w:val="24"/>
        </w:rPr>
        <w:t>8</w:t>
      </w:r>
      <w:r w:rsidRPr="00BD5F88">
        <w:rPr>
          <w:szCs w:val="24"/>
        </w:rPr>
        <w:t xml:space="preserve"> год составила </w:t>
      </w:r>
      <w:r w:rsidR="00FB75CA" w:rsidRPr="00BD5F88">
        <w:rPr>
          <w:szCs w:val="24"/>
        </w:rPr>
        <w:t>16,387</w:t>
      </w:r>
      <w:r w:rsidRPr="00BD5F88">
        <w:rPr>
          <w:szCs w:val="24"/>
        </w:rPr>
        <w:t xml:space="preserve"> тыс. чел., из них </w:t>
      </w:r>
      <w:r w:rsidR="00AA105D" w:rsidRPr="00BD5F88">
        <w:rPr>
          <w:szCs w:val="24"/>
        </w:rPr>
        <w:t>12,</w:t>
      </w:r>
      <w:r w:rsidR="00FB75CA" w:rsidRPr="00BD5F88">
        <w:rPr>
          <w:szCs w:val="24"/>
        </w:rPr>
        <w:t>22</w:t>
      </w:r>
      <w:r w:rsidR="00EC1D09" w:rsidRPr="00BD5F88">
        <w:rPr>
          <w:szCs w:val="24"/>
        </w:rPr>
        <w:t>7</w:t>
      </w:r>
      <w:r w:rsidRPr="00BD5F88">
        <w:rPr>
          <w:szCs w:val="24"/>
        </w:rPr>
        <w:t xml:space="preserve"> тыс. чел. - на крупных и средних предприятиях, 4,</w:t>
      </w:r>
      <w:r w:rsidR="00EC1D09" w:rsidRPr="00BD5F88">
        <w:rPr>
          <w:szCs w:val="24"/>
        </w:rPr>
        <w:t>16</w:t>
      </w:r>
      <w:r w:rsidRPr="00BD5F88">
        <w:rPr>
          <w:szCs w:val="24"/>
        </w:rPr>
        <w:t xml:space="preserve"> ты</w:t>
      </w:r>
      <w:r w:rsidR="00AB5B84" w:rsidRPr="00BD5F88">
        <w:rPr>
          <w:szCs w:val="24"/>
        </w:rPr>
        <w:t>с. чел. заняты в малом бизнесе.</w:t>
      </w:r>
      <w:proofErr w:type="gramEnd"/>
    </w:p>
    <w:p w:rsidR="008E1F86" w:rsidRDefault="008E1F86" w:rsidP="00F046A2">
      <w:pPr>
        <w:numPr>
          <w:ilvl w:val="12"/>
          <w:numId w:val="0"/>
        </w:numPr>
        <w:spacing w:line="276" w:lineRule="auto"/>
        <w:ind w:firstLine="709"/>
        <w:jc w:val="right"/>
        <w:rPr>
          <w:szCs w:val="24"/>
        </w:rPr>
      </w:pPr>
    </w:p>
    <w:p w:rsidR="00497A77" w:rsidRPr="00F046A2" w:rsidRDefault="00FD3F3B" w:rsidP="00F046A2">
      <w:pPr>
        <w:numPr>
          <w:ilvl w:val="12"/>
          <w:numId w:val="0"/>
        </w:numPr>
        <w:spacing w:line="276" w:lineRule="auto"/>
        <w:ind w:firstLine="709"/>
        <w:jc w:val="right"/>
        <w:rPr>
          <w:szCs w:val="24"/>
        </w:rPr>
      </w:pPr>
      <w:r w:rsidRPr="00802A35">
        <w:rPr>
          <w:szCs w:val="24"/>
        </w:rPr>
        <w:t>Диагра</w:t>
      </w:r>
      <w:r w:rsidR="00E45662" w:rsidRPr="00802A35">
        <w:rPr>
          <w:szCs w:val="24"/>
        </w:rPr>
        <w:t>мма 1</w:t>
      </w:r>
      <w:r w:rsidR="00E9683B">
        <w:rPr>
          <w:szCs w:val="24"/>
        </w:rPr>
        <w:t>1</w:t>
      </w:r>
    </w:p>
    <w:p w:rsidR="00E45662" w:rsidRPr="00D93506" w:rsidRDefault="00802A35" w:rsidP="008E1F86">
      <w:pPr>
        <w:numPr>
          <w:ilvl w:val="12"/>
          <w:numId w:val="0"/>
        </w:numPr>
        <w:spacing w:line="276" w:lineRule="auto"/>
        <w:jc w:val="center"/>
        <w:rPr>
          <w:color w:val="FF0000"/>
          <w:szCs w:val="24"/>
        </w:rPr>
      </w:pPr>
      <w:r>
        <w:rPr>
          <w:noProof/>
        </w:rPr>
        <w:drawing>
          <wp:inline distT="0" distB="0" distL="0" distR="0" wp14:anchorId="5D69C340" wp14:editId="3D745BF2">
            <wp:extent cx="5286375" cy="2829464"/>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49B6" w:rsidRPr="00BD5F88" w:rsidRDefault="00722B1B" w:rsidP="006A7649">
      <w:pPr>
        <w:spacing w:line="276" w:lineRule="auto"/>
        <w:ind w:firstLine="708"/>
        <w:jc w:val="both"/>
        <w:rPr>
          <w:szCs w:val="24"/>
          <w:u w:val="single"/>
        </w:rPr>
      </w:pPr>
      <w:r w:rsidRPr="00BD5F88">
        <w:rPr>
          <w:szCs w:val="24"/>
        </w:rPr>
        <w:lastRenderedPageBreak/>
        <w:t>В прогнозном периоде 2020</w:t>
      </w:r>
      <w:r w:rsidR="002E49B6" w:rsidRPr="00BD5F88">
        <w:rPr>
          <w:szCs w:val="24"/>
        </w:rPr>
        <w:t>-202</w:t>
      </w:r>
      <w:r w:rsidR="00BD5F88" w:rsidRPr="00BD5F88">
        <w:rPr>
          <w:szCs w:val="24"/>
        </w:rPr>
        <w:t>2</w:t>
      </w:r>
      <w:r w:rsidR="002E49B6" w:rsidRPr="00BD5F88">
        <w:rPr>
          <w:szCs w:val="24"/>
        </w:rPr>
        <w:t xml:space="preserve"> годов планируется постепенное сокращение среднесписочной численности работников на крупных и средних предприятиях в связи со значительным оттоком населения Белоярского района при незначительном увеличении численности населения, занятого в малом бизнесе. </w:t>
      </w:r>
    </w:p>
    <w:p w:rsidR="0029298D" w:rsidRPr="00BD5F88" w:rsidRDefault="00DA7481" w:rsidP="006A7649">
      <w:pPr>
        <w:spacing w:line="276" w:lineRule="auto"/>
        <w:ind w:firstLine="708"/>
        <w:jc w:val="both"/>
        <w:rPr>
          <w:szCs w:val="24"/>
        </w:rPr>
      </w:pPr>
      <w:r w:rsidRPr="00BD5F88">
        <w:rPr>
          <w:szCs w:val="24"/>
        </w:rPr>
        <w:t xml:space="preserve">Уровень регистрируемой </w:t>
      </w:r>
      <w:r w:rsidR="0029298D" w:rsidRPr="00BD5F88">
        <w:rPr>
          <w:b/>
          <w:szCs w:val="24"/>
        </w:rPr>
        <w:t xml:space="preserve">безработицы </w:t>
      </w:r>
      <w:r w:rsidR="0029298D" w:rsidRPr="00BD5F88">
        <w:rPr>
          <w:szCs w:val="24"/>
        </w:rPr>
        <w:t>на конец 201</w:t>
      </w:r>
      <w:r w:rsidR="004673E9" w:rsidRPr="00BD5F88">
        <w:rPr>
          <w:szCs w:val="24"/>
        </w:rPr>
        <w:t>8</w:t>
      </w:r>
      <w:r w:rsidR="0029298D" w:rsidRPr="00BD5F88">
        <w:rPr>
          <w:szCs w:val="24"/>
        </w:rPr>
        <w:t xml:space="preserve"> года составил </w:t>
      </w:r>
      <w:r w:rsidR="00FB0500" w:rsidRPr="00BD5F88">
        <w:rPr>
          <w:szCs w:val="24"/>
        </w:rPr>
        <w:t>0,</w:t>
      </w:r>
      <w:r w:rsidR="004673E9" w:rsidRPr="00BD5F88">
        <w:rPr>
          <w:szCs w:val="24"/>
        </w:rPr>
        <w:t>89</w:t>
      </w:r>
      <w:r w:rsidR="0029298D" w:rsidRPr="00BD5F88">
        <w:rPr>
          <w:szCs w:val="24"/>
        </w:rPr>
        <w:t xml:space="preserve"> % к численности эко</w:t>
      </w:r>
      <w:r w:rsidR="002B5782" w:rsidRPr="00BD5F88">
        <w:rPr>
          <w:szCs w:val="24"/>
        </w:rPr>
        <w:t xml:space="preserve">номически активного </w:t>
      </w:r>
      <w:r w:rsidR="009D1688" w:rsidRPr="00BD5F88">
        <w:rPr>
          <w:szCs w:val="24"/>
        </w:rPr>
        <w:t>населения</w:t>
      </w:r>
      <w:r w:rsidR="004673E9" w:rsidRPr="00BD5F88">
        <w:rPr>
          <w:szCs w:val="24"/>
        </w:rPr>
        <w:t xml:space="preserve"> (153</w:t>
      </w:r>
      <w:r w:rsidR="002B5782" w:rsidRPr="00BD5F88">
        <w:rPr>
          <w:szCs w:val="24"/>
        </w:rPr>
        <w:t xml:space="preserve"> человек</w:t>
      </w:r>
      <w:r w:rsidR="004673E9" w:rsidRPr="00BD5F88">
        <w:rPr>
          <w:szCs w:val="24"/>
        </w:rPr>
        <w:t>а</w:t>
      </w:r>
      <w:r w:rsidR="002B5782" w:rsidRPr="00BD5F88">
        <w:rPr>
          <w:szCs w:val="24"/>
        </w:rPr>
        <w:t>)</w:t>
      </w:r>
      <w:r w:rsidR="009D1688" w:rsidRPr="00BD5F88">
        <w:rPr>
          <w:szCs w:val="24"/>
        </w:rPr>
        <w:t>.</w:t>
      </w:r>
    </w:p>
    <w:p w:rsidR="00EC1D09" w:rsidRPr="00BD5F88" w:rsidRDefault="009A02A8" w:rsidP="006A7649">
      <w:pPr>
        <w:spacing w:line="276" w:lineRule="auto"/>
        <w:ind w:firstLine="708"/>
        <w:jc w:val="both"/>
        <w:rPr>
          <w:szCs w:val="24"/>
        </w:rPr>
      </w:pPr>
      <w:r w:rsidRPr="00BD5F88">
        <w:rPr>
          <w:szCs w:val="24"/>
        </w:rPr>
        <w:t>В 201</w:t>
      </w:r>
      <w:r w:rsidR="004673E9" w:rsidRPr="00BD5F88">
        <w:rPr>
          <w:szCs w:val="24"/>
        </w:rPr>
        <w:t>8</w:t>
      </w:r>
      <w:r w:rsidRPr="00BD5F88">
        <w:rPr>
          <w:szCs w:val="24"/>
        </w:rPr>
        <w:t xml:space="preserve"> году администрацией Белоярского района совместно с Центром занятости населения с целью снижения уровня безработицы продолжалась работа по заключению договоров с работодателями на выполнение общественных работ, временное трудоустройство, стажировку и опережающее обучение. </w:t>
      </w:r>
      <w:r w:rsidR="004673E9" w:rsidRPr="00BD5F88">
        <w:rPr>
          <w:szCs w:val="24"/>
        </w:rPr>
        <w:t>О</w:t>
      </w:r>
      <w:r w:rsidR="00EC1D09" w:rsidRPr="00BD5F88">
        <w:rPr>
          <w:szCs w:val="24"/>
        </w:rPr>
        <w:t>собое внимание было уде</w:t>
      </w:r>
      <w:r w:rsidR="004673E9" w:rsidRPr="00BD5F88">
        <w:rPr>
          <w:szCs w:val="24"/>
        </w:rPr>
        <w:t>лено трудоустройству инвалидов</w:t>
      </w:r>
      <w:r w:rsidR="00EC1D09" w:rsidRPr="00BD5F88">
        <w:rPr>
          <w:szCs w:val="24"/>
        </w:rPr>
        <w:t>.</w:t>
      </w:r>
    </w:p>
    <w:p w:rsidR="00772575" w:rsidRPr="00BD5F88" w:rsidRDefault="0029298D" w:rsidP="006A7649">
      <w:pPr>
        <w:spacing w:line="276" w:lineRule="auto"/>
        <w:ind w:firstLine="708"/>
        <w:jc w:val="both"/>
        <w:rPr>
          <w:szCs w:val="24"/>
        </w:rPr>
      </w:pPr>
      <w:r w:rsidRPr="00BD5F88">
        <w:rPr>
          <w:szCs w:val="24"/>
        </w:rPr>
        <w:t>По предв</w:t>
      </w:r>
      <w:r w:rsidR="004673E9" w:rsidRPr="00BD5F88">
        <w:rPr>
          <w:szCs w:val="24"/>
        </w:rPr>
        <w:t>арительным данным прогноз на 2020</w:t>
      </w:r>
      <w:r w:rsidR="002912A6" w:rsidRPr="00BD5F88">
        <w:rPr>
          <w:szCs w:val="24"/>
        </w:rPr>
        <w:t>-202</w:t>
      </w:r>
      <w:r w:rsidR="00BD5F88" w:rsidRPr="00BD5F88">
        <w:rPr>
          <w:szCs w:val="24"/>
        </w:rPr>
        <w:t>2</w:t>
      </w:r>
      <w:r w:rsidRPr="00BD5F88">
        <w:rPr>
          <w:szCs w:val="24"/>
        </w:rPr>
        <w:t xml:space="preserve"> годы можно считать относительно стабильным. Резких колебаний в динамике численности безработных не предвидится. </w:t>
      </w:r>
    </w:p>
    <w:p w:rsidR="00772575" w:rsidRPr="00D93506" w:rsidRDefault="00772575" w:rsidP="006A7649">
      <w:pPr>
        <w:spacing w:line="276" w:lineRule="auto"/>
        <w:ind w:firstLine="708"/>
        <w:jc w:val="both"/>
        <w:rPr>
          <w:color w:val="FF0000"/>
          <w:szCs w:val="24"/>
        </w:rPr>
      </w:pPr>
    </w:p>
    <w:p w:rsidR="0029298D" w:rsidRPr="001D59EC" w:rsidRDefault="0029298D" w:rsidP="006A7649">
      <w:pPr>
        <w:spacing w:line="276" w:lineRule="auto"/>
        <w:ind w:firstLine="708"/>
        <w:jc w:val="center"/>
        <w:rPr>
          <w:b/>
          <w:szCs w:val="24"/>
        </w:rPr>
      </w:pPr>
      <w:r w:rsidRPr="001D59EC">
        <w:rPr>
          <w:b/>
          <w:szCs w:val="24"/>
        </w:rPr>
        <w:t>Демография</w:t>
      </w:r>
    </w:p>
    <w:p w:rsidR="00BE7DDC" w:rsidRPr="00D93506" w:rsidRDefault="00BE7DDC" w:rsidP="006A7649">
      <w:pPr>
        <w:spacing w:line="276" w:lineRule="auto"/>
        <w:ind w:left="-567" w:firstLine="425"/>
        <w:jc w:val="center"/>
        <w:rPr>
          <w:b/>
          <w:color w:val="FF0000"/>
          <w:szCs w:val="24"/>
        </w:rPr>
      </w:pPr>
    </w:p>
    <w:p w:rsidR="00D93506" w:rsidRPr="00502EE6" w:rsidRDefault="00D93506" w:rsidP="006A7649">
      <w:pPr>
        <w:pStyle w:val="ab"/>
        <w:tabs>
          <w:tab w:val="left" w:pos="9360"/>
        </w:tabs>
        <w:spacing w:line="276" w:lineRule="auto"/>
        <w:ind w:firstLine="720"/>
        <w:jc w:val="both"/>
        <w:rPr>
          <w:b w:val="0"/>
          <w:sz w:val="24"/>
          <w:szCs w:val="24"/>
        </w:rPr>
      </w:pPr>
      <w:r w:rsidRPr="00502EE6">
        <w:rPr>
          <w:b w:val="0"/>
          <w:sz w:val="24"/>
          <w:szCs w:val="24"/>
        </w:rPr>
        <w:t xml:space="preserve">Среднегодовая численность населения Белоярского района за 2018 год составила 28,677 тыс. человек, что на 478 человек меньше уровня 2017 года. </w:t>
      </w:r>
    </w:p>
    <w:p w:rsidR="00D93506" w:rsidRPr="00502EE6" w:rsidRDefault="00D93506" w:rsidP="006A7649">
      <w:pPr>
        <w:pStyle w:val="ab"/>
        <w:tabs>
          <w:tab w:val="left" w:pos="9360"/>
        </w:tabs>
        <w:spacing w:line="276" w:lineRule="auto"/>
        <w:ind w:firstLine="720"/>
        <w:jc w:val="both"/>
        <w:rPr>
          <w:b w:val="0"/>
          <w:sz w:val="24"/>
          <w:szCs w:val="24"/>
        </w:rPr>
      </w:pPr>
      <w:r w:rsidRPr="00502EE6">
        <w:rPr>
          <w:b w:val="0"/>
          <w:sz w:val="24"/>
          <w:szCs w:val="24"/>
        </w:rPr>
        <w:t>На протяжении ряда лет на территории Белоярского района показатели рождаемости превышают показатели смертности более чем в 2 раза. За отчетный год на территории района родилось 316 детей. Коэффициент рождаемости составил 11 промилле.</w:t>
      </w:r>
    </w:p>
    <w:p w:rsidR="00D93506" w:rsidRPr="00502EE6" w:rsidRDefault="00D93506" w:rsidP="006A7649">
      <w:pPr>
        <w:spacing w:line="276" w:lineRule="auto"/>
        <w:rPr>
          <w:color w:val="FF0000"/>
          <w:szCs w:val="24"/>
        </w:rPr>
      </w:pPr>
    </w:p>
    <w:p w:rsidR="00D93506" w:rsidRPr="00D93506" w:rsidRDefault="00D93506" w:rsidP="006A7649">
      <w:pPr>
        <w:spacing w:line="276" w:lineRule="auto"/>
        <w:ind w:firstLine="720"/>
        <w:jc w:val="right"/>
        <w:rPr>
          <w:szCs w:val="24"/>
        </w:rPr>
      </w:pPr>
      <w:r w:rsidRPr="00D93506">
        <w:rPr>
          <w:szCs w:val="24"/>
        </w:rPr>
        <w:t>Диаграмма 1</w:t>
      </w:r>
      <w:r w:rsidR="00E9683B">
        <w:rPr>
          <w:szCs w:val="24"/>
        </w:rPr>
        <w:t>2</w:t>
      </w:r>
      <w:r w:rsidRPr="00D93506">
        <w:rPr>
          <w:noProof/>
        </w:rPr>
        <w:drawing>
          <wp:inline distT="0" distB="0" distL="0" distR="0" wp14:anchorId="0EEA4DAE" wp14:editId="4DB2B918">
            <wp:extent cx="5934974" cy="3752850"/>
            <wp:effectExtent l="0" t="0" r="889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93506" w:rsidRPr="00502EE6" w:rsidRDefault="00D93506" w:rsidP="006A7649">
      <w:pPr>
        <w:spacing w:line="276" w:lineRule="auto"/>
        <w:ind w:firstLine="720"/>
        <w:jc w:val="both"/>
        <w:rPr>
          <w:color w:val="FF0000"/>
          <w:szCs w:val="24"/>
        </w:rPr>
      </w:pPr>
    </w:p>
    <w:p w:rsidR="00D93506" w:rsidRPr="00502EE6" w:rsidRDefault="00D93506" w:rsidP="006A7649">
      <w:pPr>
        <w:spacing w:line="276" w:lineRule="auto"/>
        <w:ind w:firstLine="720"/>
        <w:jc w:val="both"/>
        <w:rPr>
          <w:szCs w:val="24"/>
        </w:rPr>
      </w:pPr>
      <w:r w:rsidRPr="00502EE6">
        <w:rPr>
          <w:szCs w:val="24"/>
        </w:rPr>
        <w:t xml:space="preserve">Среднегодовая численность населения района за 2019 год оценочно составит 28,301 тыс. человек. </w:t>
      </w:r>
    </w:p>
    <w:p w:rsidR="00D93506" w:rsidRPr="00502EE6" w:rsidRDefault="00D93506" w:rsidP="006A7649">
      <w:pPr>
        <w:spacing w:line="276" w:lineRule="auto"/>
        <w:ind w:firstLine="708"/>
        <w:jc w:val="both"/>
        <w:rPr>
          <w:bCs/>
          <w:szCs w:val="24"/>
        </w:rPr>
      </w:pPr>
      <w:r w:rsidRPr="00502EE6">
        <w:rPr>
          <w:szCs w:val="24"/>
        </w:rPr>
        <w:lastRenderedPageBreak/>
        <w:t xml:space="preserve">Прогноз демографической ситуации в Белоярском районе на 2020-2022 годы рассчитан </w:t>
      </w:r>
      <w:r w:rsidRPr="00502EE6">
        <w:rPr>
          <w:bCs/>
          <w:szCs w:val="24"/>
        </w:rPr>
        <w:t>с учетом постепенного увеличения показателей рождаемости и уменьшением показателей смертности на территории района.</w:t>
      </w:r>
    </w:p>
    <w:p w:rsidR="00D93506" w:rsidRPr="008C439A" w:rsidRDefault="00D93506" w:rsidP="006A7649">
      <w:pPr>
        <w:spacing w:line="276" w:lineRule="auto"/>
        <w:ind w:firstLine="720"/>
        <w:jc w:val="both"/>
        <w:rPr>
          <w:szCs w:val="24"/>
        </w:rPr>
      </w:pPr>
      <w:r w:rsidRPr="00502EE6">
        <w:rPr>
          <w:szCs w:val="24"/>
        </w:rPr>
        <w:t xml:space="preserve">За 2018 год территорию Белоярского района покинули 1 460 </w:t>
      </w:r>
      <w:r w:rsidRPr="008C439A">
        <w:rPr>
          <w:szCs w:val="24"/>
        </w:rPr>
        <w:t>человек (из них 538 чел. - сельские поселения, 922 чел. - город), прибыл 841 человек (из них 289 чел. – сельские поселения, 552 чел. – город). Миграционное сальдо составило минус 619 человек (2017 год – минус 676 человек). Миграционный отток превысил естественный прирост населения на 487 человек.</w:t>
      </w:r>
    </w:p>
    <w:p w:rsidR="00D93506" w:rsidRPr="008C439A" w:rsidRDefault="00D93506" w:rsidP="006A7649">
      <w:pPr>
        <w:spacing w:line="276" w:lineRule="auto"/>
        <w:ind w:firstLine="720"/>
        <w:jc w:val="both"/>
        <w:rPr>
          <w:szCs w:val="24"/>
        </w:rPr>
      </w:pPr>
      <w:r w:rsidRPr="008C439A">
        <w:rPr>
          <w:szCs w:val="24"/>
        </w:rPr>
        <w:t>Доля городского населения составляет 68,6% от численности населения, проживающего на территории Белоярского района. Соотношение численности  городского и сельского населения сохранится на прежнем уровне в прогнозе на  2020-2022 годы.</w:t>
      </w:r>
    </w:p>
    <w:p w:rsidR="00D93506" w:rsidRPr="008C439A" w:rsidRDefault="00D93506" w:rsidP="006A7649">
      <w:pPr>
        <w:spacing w:line="276" w:lineRule="auto"/>
        <w:ind w:firstLine="720"/>
        <w:jc w:val="both"/>
        <w:rPr>
          <w:szCs w:val="24"/>
        </w:rPr>
      </w:pPr>
      <w:r w:rsidRPr="008C439A">
        <w:rPr>
          <w:szCs w:val="24"/>
        </w:rPr>
        <w:t xml:space="preserve">Анализ населения Белоярского района по полу показывает, что на протяжении последних лет удельный вес мужчин и женщин в общей численности постоянного населения остается неизменным: 50,5% составляют мужчины, 49,5% - женщины. </w:t>
      </w:r>
    </w:p>
    <w:p w:rsidR="00D93506" w:rsidRDefault="00D93506" w:rsidP="006A7649">
      <w:pPr>
        <w:spacing w:line="276" w:lineRule="auto"/>
        <w:ind w:firstLine="720"/>
        <w:jc w:val="both"/>
        <w:rPr>
          <w:szCs w:val="24"/>
        </w:rPr>
      </w:pPr>
      <w:r w:rsidRPr="008C439A">
        <w:rPr>
          <w:szCs w:val="24"/>
        </w:rPr>
        <w:t>Средний возраст населения Белоярского района составляет 34,5 года. В последние годы отмечается уменьшение численности трудоспособного населения в общем составе населения и увеличение доли лиц старше трудоспособного возраста. В 2018 году возрастная структура населения составила: доля населения моложе трудоспособного возраста – 22,6%, трудоспособное – 61,6%, население старше трудоспособного возраста – 15,8%.</w:t>
      </w:r>
      <w:r>
        <w:rPr>
          <w:szCs w:val="24"/>
        </w:rPr>
        <w:t xml:space="preserve"> В прогнозном периоде планируется увеличение доли лиц трудоспособного возраста и уменьшение доли лиц старше трудоспособного возраста в связи с изменениями в пенсионной системе страны.</w:t>
      </w:r>
    </w:p>
    <w:p w:rsidR="0076714C" w:rsidRDefault="0076714C" w:rsidP="006A7649">
      <w:pPr>
        <w:spacing w:line="276" w:lineRule="auto"/>
        <w:ind w:left="-567" w:firstLine="425"/>
        <w:jc w:val="center"/>
        <w:rPr>
          <w:b/>
          <w:szCs w:val="24"/>
        </w:rPr>
      </w:pPr>
    </w:p>
    <w:p w:rsidR="0076714C" w:rsidRPr="000758BC" w:rsidRDefault="0076714C" w:rsidP="006A7649">
      <w:pPr>
        <w:spacing w:line="276" w:lineRule="auto"/>
        <w:ind w:left="-567" w:firstLine="425"/>
        <w:jc w:val="center"/>
        <w:rPr>
          <w:b/>
          <w:szCs w:val="24"/>
        </w:rPr>
      </w:pPr>
      <w:r w:rsidRPr="000758BC">
        <w:rPr>
          <w:b/>
          <w:szCs w:val="24"/>
        </w:rPr>
        <w:t>Развитие отраслей социальной сферы</w:t>
      </w:r>
    </w:p>
    <w:p w:rsidR="0076714C" w:rsidRPr="000758BC" w:rsidRDefault="0076714C" w:rsidP="006A7649">
      <w:pPr>
        <w:spacing w:line="276" w:lineRule="auto"/>
        <w:ind w:left="-567" w:firstLine="425"/>
        <w:jc w:val="center"/>
        <w:rPr>
          <w:b/>
          <w:szCs w:val="24"/>
        </w:rPr>
      </w:pPr>
    </w:p>
    <w:p w:rsidR="0076714C" w:rsidRPr="000758BC" w:rsidRDefault="0076714C" w:rsidP="006A7649">
      <w:pPr>
        <w:spacing w:line="276" w:lineRule="auto"/>
        <w:ind w:firstLine="709"/>
        <w:rPr>
          <w:b/>
          <w:i/>
          <w:szCs w:val="24"/>
        </w:rPr>
      </w:pPr>
      <w:r w:rsidRPr="000758BC">
        <w:rPr>
          <w:b/>
          <w:i/>
          <w:szCs w:val="24"/>
        </w:rPr>
        <w:t>Здравоохранение</w:t>
      </w:r>
    </w:p>
    <w:p w:rsidR="0076714C" w:rsidRPr="000758BC" w:rsidRDefault="0076714C" w:rsidP="006A7649">
      <w:pPr>
        <w:pStyle w:val="a9"/>
        <w:tabs>
          <w:tab w:val="left" w:pos="720"/>
        </w:tabs>
        <w:spacing w:after="0" w:line="276" w:lineRule="auto"/>
        <w:ind w:left="0" w:firstLine="720"/>
        <w:jc w:val="both"/>
        <w:rPr>
          <w:szCs w:val="24"/>
        </w:rPr>
      </w:pPr>
      <w:r w:rsidRPr="000758BC">
        <w:rPr>
          <w:szCs w:val="24"/>
        </w:rPr>
        <w:t>Система здравоохранения Белоярского района представлена бюджетным учреждением Ханты-Мансийского автономного округа - Югры «Белоярская районная больница» (далее – БУ ХМАО-Югры «БРБ») со структурными подразделениями в городе и сельских поселениях. В состав БУ ХМАО-Югры «БРБ» входят больничные учреждения на 207 коек, амбулаторно-поликлинические подразделения на 975 посещений в смену, фельдшерско-акушерские пункты в деревнях Юильск, Нумто, Тугияны, Пашторы и селе Ванзеват.</w:t>
      </w:r>
    </w:p>
    <w:p w:rsidR="0076714C" w:rsidRPr="000758BC" w:rsidRDefault="0076714C" w:rsidP="006A7649">
      <w:pPr>
        <w:pStyle w:val="a9"/>
        <w:tabs>
          <w:tab w:val="left" w:pos="720"/>
        </w:tabs>
        <w:spacing w:after="0" w:line="276" w:lineRule="auto"/>
        <w:ind w:left="0" w:firstLine="720"/>
        <w:jc w:val="both"/>
        <w:rPr>
          <w:szCs w:val="24"/>
        </w:rPr>
      </w:pPr>
      <w:r w:rsidRPr="000758BC">
        <w:rPr>
          <w:szCs w:val="24"/>
        </w:rPr>
        <w:t xml:space="preserve"> В соответствии с постановлением Правительства ХМАО-Югры </w:t>
      </w:r>
      <w:r w:rsidR="00664C6D" w:rsidRPr="000758BC">
        <w:rPr>
          <w:szCs w:val="24"/>
        </w:rPr>
        <w:t xml:space="preserve">от 28.12.2018 г. №500-п </w:t>
      </w:r>
      <w:r w:rsidRPr="000758BC">
        <w:rPr>
          <w:szCs w:val="24"/>
        </w:rPr>
        <w:t>«О территориальной программе государственных гарантий бесплатного оказания гражданам медицинской помощи в Ханты-Мансийском автономном округе – Югре на 2019 год и на плановый период 2020 и 2021 годов», тарифным соглашением на 2019 год, протоколом заседания комиссии по разработке территориальной программы ОМС от 28.12.2018 г. №</w:t>
      </w:r>
      <w:r w:rsidR="008A7175">
        <w:rPr>
          <w:szCs w:val="24"/>
        </w:rPr>
        <w:t xml:space="preserve"> </w:t>
      </w:r>
      <w:r w:rsidRPr="000758BC">
        <w:rPr>
          <w:szCs w:val="24"/>
        </w:rPr>
        <w:t xml:space="preserve">26 в 2019 году произошло уменьшение коек на 17 единиц. </w:t>
      </w:r>
    </w:p>
    <w:p w:rsidR="0076714C" w:rsidRPr="000758BC" w:rsidRDefault="0076714C" w:rsidP="006A7649">
      <w:pPr>
        <w:spacing w:line="276" w:lineRule="auto"/>
        <w:ind w:firstLine="720"/>
        <w:jc w:val="both"/>
        <w:rPr>
          <w:szCs w:val="24"/>
        </w:rPr>
      </w:pPr>
      <w:r w:rsidRPr="000758BC">
        <w:rPr>
          <w:szCs w:val="24"/>
        </w:rPr>
        <w:t xml:space="preserve">В расчете на 10 тысяч населения обеспеченность амбулаторно-поликлиническими учреждениями в 2019 году оценочно составит 344,5 посещения в смену, койками круглосуточного пребывания – 73 койки. В 2020-2022 годы прогнозные значения показателей обеспеченности населения учреждениями здравоохранения изменятся   незначительно. На их расчетную величину определенное влияние оказывает  прогнозируемая демографическая ситуация в  Белоярском районе.  </w:t>
      </w:r>
    </w:p>
    <w:p w:rsidR="0076714C" w:rsidRPr="00322E9B" w:rsidRDefault="0076714C" w:rsidP="006A7649">
      <w:pPr>
        <w:spacing w:line="276" w:lineRule="auto"/>
        <w:ind w:firstLine="720"/>
        <w:jc w:val="both"/>
        <w:rPr>
          <w:szCs w:val="24"/>
        </w:rPr>
      </w:pPr>
      <w:r w:rsidRPr="00322E9B">
        <w:rPr>
          <w:szCs w:val="24"/>
        </w:rPr>
        <w:lastRenderedPageBreak/>
        <w:t>В 2019 году отмечается снижение коэффициента смертности</w:t>
      </w:r>
      <w:r w:rsidR="00322E9B" w:rsidRPr="00322E9B">
        <w:rPr>
          <w:szCs w:val="24"/>
        </w:rPr>
        <w:t xml:space="preserve"> трудоспособного населения на 7</w:t>
      </w:r>
      <w:r w:rsidRPr="00322E9B">
        <w:rPr>
          <w:szCs w:val="24"/>
        </w:rPr>
        <w:t>%, коэффициента смертности от болез</w:t>
      </w:r>
      <w:r w:rsidR="00322E9B" w:rsidRPr="00322E9B">
        <w:rPr>
          <w:szCs w:val="24"/>
        </w:rPr>
        <w:t>ней системы кровообращения на 20,2%.</w:t>
      </w:r>
    </w:p>
    <w:p w:rsidR="0076714C" w:rsidRPr="000758BC" w:rsidRDefault="0076714C" w:rsidP="006A7649">
      <w:pPr>
        <w:spacing w:line="276" w:lineRule="auto"/>
        <w:ind w:firstLine="708"/>
        <w:jc w:val="both"/>
        <w:rPr>
          <w:szCs w:val="24"/>
        </w:rPr>
      </w:pPr>
      <w:r w:rsidRPr="000758BC">
        <w:rPr>
          <w:szCs w:val="24"/>
        </w:rPr>
        <w:t xml:space="preserve">В расчете на 10 тысяч населения обеспеченность врачами в 2019 году оценочно составит 41 человек, средними медицинскими работниками – 130 человек. В прогнозных 2020-2022 годах численность врачей и среднего медицинского персонала изменится незначительно и к 2022 году составит 44 </w:t>
      </w:r>
      <w:r w:rsidR="00664C6D">
        <w:rPr>
          <w:szCs w:val="24"/>
        </w:rPr>
        <w:t xml:space="preserve">и 134 </w:t>
      </w:r>
      <w:r w:rsidRPr="000758BC">
        <w:rPr>
          <w:szCs w:val="24"/>
        </w:rPr>
        <w:t>человека</w:t>
      </w:r>
      <w:r w:rsidR="00664C6D">
        <w:rPr>
          <w:szCs w:val="24"/>
        </w:rPr>
        <w:t xml:space="preserve"> соответственно</w:t>
      </w:r>
      <w:r w:rsidRPr="000758BC">
        <w:rPr>
          <w:szCs w:val="24"/>
        </w:rPr>
        <w:t>.</w:t>
      </w:r>
    </w:p>
    <w:p w:rsidR="0076714C" w:rsidRPr="000758BC" w:rsidRDefault="0076714C" w:rsidP="006A7649">
      <w:pPr>
        <w:spacing w:line="276" w:lineRule="auto"/>
        <w:ind w:firstLine="708"/>
        <w:jc w:val="both"/>
        <w:rPr>
          <w:szCs w:val="24"/>
        </w:rPr>
      </w:pPr>
    </w:p>
    <w:p w:rsidR="0076714C" w:rsidRPr="00235184" w:rsidRDefault="0076714C" w:rsidP="006A7649">
      <w:pPr>
        <w:spacing w:line="276" w:lineRule="auto"/>
        <w:rPr>
          <w:b/>
          <w:i/>
        </w:rPr>
      </w:pPr>
      <w:r w:rsidRPr="00235184">
        <w:rPr>
          <w:b/>
          <w:i/>
        </w:rPr>
        <w:t>Образование</w:t>
      </w:r>
    </w:p>
    <w:p w:rsidR="0076714C" w:rsidRPr="00235184" w:rsidRDefault="0076714C" w:rsidP="006A7649">
      <w:pPr>
        <w:spacing w:line="276" w:lineRule="auto"/>
        <w:ind w:firstLine="709"/>
        <w:jc w:val="both"/>
      </w:pPr>
      <w:r w:rsidRPr="00235184">
        <w:t>В сфере образования в Белоярском районе функционируют: 6 дошкольных образовательных учреждений, 10 учреждений общего образования, 1 учреждение дополнительного образования, 1 бюджетное учреждение профессионального образования.</w:t>
      </w:r>
    </w:p>
    <w:p w:rsidR="0076714C" w:rsidRPr="00235184" w:rsidRDefault="0076714C" w:rsidP="006A7649">
      <w:pPr>
        <w:pStyle w:val="a9"/>
        <w:spacing w:after="0" w:line="276" w:lineRule="auto"/>
        <w:ind w:left="0" w:firstLine="709"/>
        <w:jc w:val="both"/>
        <w:rPr>
          <w:szCs w:val="24"/>
        </w:rPr>
      </w:pPr>
      <w:r w:rsidRPr="00235184">
        <w:rPr>
          <w:szCs w:val="24"/>
        </w:rPr>
        <w:t xml:space="preserve">В 2019 году в ведении Белоярского района находятся 6 дошкольных образовательных учреждений и 5 общеобразовательных учреждений с группами дошкольного образования. Общая фактическая мощность образовательных учреждений, реализующих основную образовательную программу дошкольного образования, оценочно составит 2 099 мест при количестве посещающих 2 127 детей. Сокращение мест на 20 единиц произошло за счет сокращения 1 группы в с.п. Полноват </w:t>
      </w:r>
      <w:r w:rsidR="005F0601">
        <w:rPr>
          <w:szCs w:val="24"/>
        </w:rPr>
        <w:t xml:space="preserve">в связи с низкой наполняемостью </w:t>
      </w:r>
      <w:r w:rsidRPr="00235184">
        <w:rPr>
          <w:szCs w:val="24"/>
        </w:rPr>
        <w:t>(2018 год – 2 119 мест).</w:t>
      </w:r>
    </w:p>
    <w:p w:rsidR="0076714C" w:rsidRPr="0044222E" w:rsidRDefault="0076714C" w:rsidP="006A7649">
      <w:pPr>
        <w:spacing w:line="276" w:lineRule="auto"/>
        <w:ind w:firstLine="567"/>
        <w:jc w:val="both"/>
        <w:rPr>
          <w:szCs w:val="24"/>
        </w:rPr>
      </w:pPr>
      <w:r w:rsidRPr="0044222E">
        <w:rPr>
          <w:szCs w:val="24"/>
        </w:rPr>
        <w:t>В районе отсутствует очередность детей в возрасте от 1 до 6 лет для определения в детский сад. В 2019 году коэффициент охвата детей дошкольным образованием в возрасте от 1 до 6,5 лет составил 87%.</w:t>
      </w:r>
    </w:p>
    <w:p w:rsidR="0076714C" w:rsidRPr="00235184" w:rsidRDefault="0076714C" w:rsidP="006A7649">
      <w:pPr>
        <w:spacing w:line="276" w:lineRule="auto"/>
        <w:ind w:firstLine="709"/>
        <w:jc w:val="both"/>
        <w:rPr>
          <w:szCs w:val="24"/>
        </w:rPr>
      </w:pPr>
      <w:r w:rsidRPr="00235184">
        <w:rPr>
          <w:szCs w:val="24"/>
        </w:rPr>
        <w:t xml:space="preserve">Обеспеченность местами в дошкольных образовательных учреждениях и группах дошкольного образования в СОШ Белоярского района в 2019 году оценочно составит </w:t>
      </w:r>
      <w:r w:rsidR="00235184" w:rsidRPr="00235184">
        <w:rPr>
          <w:szCs w:val="24"/>
        </w:rPr>
        <w:t>883,8</w:t>
      </w:r>
      <w:r w:rsidRPr="00235184">
        <w:rPr>
          <w:szCs w:val="24"/>
        </w:rPr>
        <w:t xml:space="preserve"> мест на 1000 детей дошкольного возраста (от 1 до 6 лет). В прогнозном 2020 году обеспеченность местами составит 971 место при условии ввода нового, энергоэффективного детского сада в г. Белоярский на 220 мест, в 2021 году – 991 место, в 2022 году – 1008 мест. </w:t>
      </w:r>
    </w:p>
    <w:p w:rsidR="0076714C" w:rsidRPr="00A4093A" w:rsidRDefault="0076714C" w:rsidP="006A7649">
      <w:pPr>
        <w:spacing w:line="276" w:lineRule="auto"/>
        <w:ind w:firstLine="709"/>
        <w:jc w:val="both"/>
        <w:rPr>
          <w:szCs w:val="24"/>
        </w:rPr>
      </w:pPr>
      <w:r w:rsidRPr="00A4093A">
        <w:rPr>
          <w:szCs w:val="24"/>
        </w:rPr>
        <w:t>Ежегодное увеличение обеспеченности местами в учреждениях, реализующих основную образовательную программу дошкольного образования, объясняется снижением показателей рождаемости в сравнении с периодом до 2017 года и высоким уровнем миграционного оттока населения района, а также открытием группы частной формы собственности на 10 мест в 2021 году.</w:t>
      </w:r>
    </w:p>
    <w:p w:rsidR="0076714C" w:rsidRPr="00C20F73" w:rsidRDefault="0076714C" w:rsidP="006A7649">
      <w:pPr>
        <w:shd w:val="clear" w:color="auto" w:fill="FFFFFF"/>
        <w:spacing w:line="276" w:lineRule="auto"/>
        <w:ind w:firstLine="720"/>
        <w:jc w:val="both"/>
        <w:rPr>
          <w:szCs w:val="24"/>
        </w:rPr>
      </w:pPr>
      <w:r w:rsidRPr="00C20F73">
        <w:rPr>
          <w:szCs w:val="24"/>
        </w:rPr>
        <w:t xml:space="preserve">На территории Белоярского района в 2019 году действуют                                         10 общеобразовательных учреждений суммарной мощностью 3 696 мест (без учета мест в группах дошкольного образования в сельских поселениях Белоярского района), при численности учащихся - 3 </w:t>
      </w:r>
      <w:r w:rsidR="00C20F73" w:rsidRPr="00C20F73">
        <w:rPr>
          <w:szCs w:val="24"/>
        </w:rPr>
        <w:t>918</w:t>
      </w:r>
      <w:r w:rsidRPr="00C20F73">
        <w:rPr>
          <w:szCs w:val="24"/>
        </w:rPr>
        <w:t xml:space="preserve"> человек.  Увеличение мест в общеобразовательных учреждениях произошло в связи с официальным оформлением 72 мест в Межшкольном технопарке.</w:t>
      </w:r>
    </w:p>
    <w:p w:rsidR="0076714C" w:rsidRPr="00C20F73" w:rsidRDefault="0076714C" w:rsidP="006A7649">
      <w:pPr>
        <w:spacing w:line="276" w:lineRule="auto"/>
        <w:ind w:firstLine="709"/>
        <w:jc w:val="both"/>
        <w:rPr>
          <w:szCs w:val="24"/>
        </w:rPr>
      </w:pPr>
      <w:r w:rsidRPr="00C20F73">
        <w:rPr>
          <w:szCs w:val="24"/>
        </w:rPr>
        <w:t>Обеспеченность местами в общеобразовательных учреждениях Белоярского района в 2019 году оценочно составит 8</w:t>
      </w:r>
      <w:r w:rsidR="00C20F73" w:rsidRPr="00C20F73">
        <w:rPr>
          <w:szCs w:val="24"/>
        </w:rPr>
        <w:t>36</w:t>
      </w:r>
      <w:r w:rsidRPr="00C20F73">
        <w:rPr>
          <w:szCs w:val="24"/>
        </w:rPr>
        <w:t xml:space="preserve"> мест на 1000 детей школьного возраста (без учета групп дошкольного образования).</w:t>
      </w:r>
    </w:p>
    <w:p w:rsidR="0076714C" w:rsidRPr="0076714C" w:rsidRDefault="0076714C" w:rsidP="006A7649">
      <w:pPr>
        <w:spacing w:line="276" w:lineRule="auto"/>
        <w:rPr>
          <w:color w:val="FF0000"/>
          <w:szCs w:val="24"/>
        </w:rPr>
      </w:pPr>
    </w:p>
    <w:p w:rsidR="00E9683B" w:rsidRDefault="00E9683B" w:rsidP="006A7649">
      <w:pPr>
        <w:spacing w:line="276" w:lineRule="auto"/>
        <w:ind w:firstLine="709"/>
        <w:jc w:val="right"/>
        <w:rPr>
          <w:szCs w:val="24"/>
        </w:rPr>
      </w:pPr>
    </w:p>
    <w:p w:rsidR="00E9683B" w:rsidRDefault="00E9683B" w:rsidP="006A7649">
      <w:pPr>
        <w:spacing w:line="276" w:lineRule="auto"/>
        <w:ind w:firstLine="709"/>
        <w:jc w:val="right"/>
        <w:rPr>
          <w:szCs w:val="24"/>
        </w:rPr>
      </w:pPr>
    </w:p>
    <w:p w:rsidR="00E9683B" w:rsidRDefault="00E9683B" w:rsidP="006A7649">
      <w:pPr>
        <w:spacing w:line="276" w:lineRule="auto"/>
        <w:rPr>
          <w:szCs w:val="24"/>
        </w:rPr>
      </w:pPr>
    </w:p>
    <w:p w:rsidR="0076714C" w:rsidRPr="00C20F73" w:rsidRDefault="0076714C" w:rsidP="006A7649">
      <w:pPr>
        <w:spacing w:line="276" w:lineRule="auto"/>
        <w:ind w:firstLine="709"/>
        <w:jc w:val="right"/>
        <w:rPr>
          <w:szCs w:val="24"/>
        </w:rPr>
      </w:pPr>
      <w:r w:rsidRPr="00C20F73">
        <w:rPr>
          <w:szCs w:val="24"/>
        </w:rPr>
        <w:lastRenderedPageBreak/>
        <w:t>Диаграмма 1</w:t>
      </w:r>
      <w:r w:rsidR="00E9683B">
        <w:rPr>
          <w:szCs w:val="24"/>
        </w:rPr>
        <w:t>3</w:t>
      </w:r>
    </w:p>
    <w:p w:rsidR="0076714C" w:rsidRPr="0076714C" w:rsidRDefault="0076714C" w:rsidP="006A7649">
      <w:pPr>
        <w:spacing w:line="276" w:lineRule="auto"/>
        <w:jc w:val="center"/>
        <w:rPr>
          <w:color w:val="FF0000"/>
          <w:szCs w:val="24"/>
        </w:rPr>
      </w:pPr>
      <w:r w:rsidRPr="0076714C">
        <w:rPr>
          <w:noProof/>
          <w:color w:val="FF0000"/>
        </w:rPr>
        <w:t xml:space="preserve">  </w:t>
      </w:r>
      <w:r w:rsidR="00B912D2">
        <w:rPr>
          <w:noProof/>
        </w:rPr>
        <w:drawing>
          <wp:inline distT="0" distB="0" distL="0" distR="0" wp14:anchorId="5C739FFD" wp14:editId="5ACD97AF">
            <wp:extent cx="5786348" cy="3162300"/>
            <wp:effectExtent l="0" t="0" r="508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714C" w:rsidRPr="00C20F73" w:rsidRDefault="0076714C" w:rsidP="006A7649">
      <w:pPr>
        <w:spacing w:line="276" w:lineRule="auto"/>
        <w:ind w:firstLine="709"/>
        <w:jc w:val="both"/>
        <w:rPr>
          <w:szCs w:val="24"/>
        </w:rPr>
      </w:pPr>
      <w:r w:rsidRPr="00C20F73">
        <w:rPr>
          <w:noProof/>
          <w:szCs w:val="24"/>
        </w:rPr>
        <w:t xml:space="preserve">В 2020 году планируется ввод в эксплуатацию школы в г. Белоярский, в связи с чем обеспеченность местами в общеобразовательных учреждениях увеличится до </w:t>
      </w:r>
      <w:r w:rsidR="00C20F73" w:rsidRPr="00C20F73">
        <w:rPr>
          <w:noProof/>
          <w:szCs w:val="24"/>
        </w:rPr>
        <w:t>904 мест</w:t>
      </w:r>
      <w:r w:rsidRPr="00C20F73">
        <w:rPr>
          <w:noProof/>
          <w:szCs w:val="24"/>
        </w:rPr>
        <w:t xml:space="preserve"> на 1000 детей школьного возраста.   </w:t>
      </w:r>
    </w:p>
    <w:p w:rsidR="0076714C" w:rsidRPr="00A4093A" w:rsidRDefault="0076714C" w:rsidP="006A7649">
      <w:pPr>
        <w:spacing w:line="276" w:lineRule="auto"/>
        <w:ind w:firstLine="709"/>
        <w:jc w:val="both"/>
        <w:rPr>
          <w:szCs w:val="24"/>
        </w:rPr>
      </w:pPr>
      <w:r w:rsidRPr="00A4093A">
        <w:rPr>
          <w:szCs w:val="24"/>
        </w:rPr>
        <w:t xml:space="preserve">В районе наблюдается стабильность показателей, характеризующих успешность освоения обучающихся образовательных программ. Об этом свидетельствуют и результаты единого государственного экзамена – 100% учащихся успешно сдают единый государственный экзамен по русскому языку и математике с 2009 года. Учащиеся общеобразовательных учреждений района ежегодно становятся победителями, призерами, дипломантами, лауреатами олимпиад, интеллектуальных и творческих конкурсов различного уровня. </w:t>
      </w:r>
    </w:p>
    <w:p w:rsidR="0076714C" w:rsidRPr="00A4093A" w:rsidRDefault="0076714C" w:rsidP="006A7649">
      <w:pPr>
        <w:pStyle w:val="21"/>
        <w:spacing w:after="0" w:line="276" w:lineRule="auto"/>
        <w:ind w:left="0" w:firstLine="709"/>
        <w:jc w:val="both"/>
        <w:rPr>
          <w:szCs w:val="24"/>
        </w:rPr>
      </w:pPr>
      <w:r w:rsidRPr="00A4093A">
        <w:rPr>
          <w:szCs w:val="24"/>
        </w:rPr>
        <w:t xml:space="preserve">В 2019 году функционирует одно внешкольное учреждение - дворец детского (юношеского) творчества, суммарная фактическая пропускная способность составляет           2 460 детей.  </w:t>
      </w:r>
    </w:p>
    <w:p w:rsidR="0076714C" w:rsidRPr="0076714C" w:rsidRDefault="0076714C" w:rsidP="006A7649">
      <w:pPr>
        <w:pStyle w:val="ad"/>
        <w:spacing w:line="276" w:lineRule="auto"/>
        <w:rPr>
          <w:color w:val="FF0000"/>
        </w:rPr>
      </w:pPr>
    </w:p>
    <w:p w:rsidR="0076714C" w:rsidRPr="002A4E73" w:rsidRDefault="0076714C" w:rsidP="006A7649">
      <w:pPr>
        <w:spacing w:line="276" w:lineRule="auto"/>
        <w:ind w:firstLine="709"/>
        <w:rPr>
          <w:b/>
          <w:i/>
          <w:szCs w:val="24"/>
        </w:rPr>
      </w:pPr>
      <w:r w:rsidRPr="002A4E73">
        <w:rPr>
          <w:b/>
          <w:i/>
          <w:szCs w:val="24"/>
        </w:rPr>
        <w:t>Культура</w:t>
      </w:r>
    </w:p>
    <w:p w:rsidR="0062533F" w:rsidRDefault="0062533F" w:rsidP="006A7649">
      <w:pPr>
        <w:tabs>
          <w:tab w:val="left" w:pos="0"/>
        </w:tabs>
        <w:spacing w:line="276" w:lineRule="auto"/>
        <w:ind w:firstLine="720"/>
        <w:jc w:val="both"/>
        <w:rPr>
          <w:szCs w:val="24"/>
        </w:rPr>
      </w:pPr>
      <w:r w:rsidRPr="00FD7632">
        <w:rPr>
          <w:szCs w:val="24"/>
        </w:rPr>
        <w:t xml:space="preserve">Структура учреждений культуры Белоярского района включает в себя                       17 учреждений культурно-досугового типа, 10 библиотек, входящих в централизованную библиотечную систему, детскую школу искусств и 6 сельских классов, </w:t>
      </w:r>
      <w:r w:rsidR="00415532">
        <w:rPr>
          <w:szCs w:val="24"/>
        </w:rPr>
        <w:t>Э</w:t>
      </w:r>
      <w:r w:rsidRPr="00E83B5F">
        <w:rPr>
          <w:szCs w:val="24"/>
        </w:rPr>
        <w:t>тнокультурный центр и Центр историко-культурного наследия «</w:t>
      </w:r>
      <w:proofErr w:type="spellStart"/>
      <w:r w:rsidRPr="00E83B5F">
        <w:rPr>
          <w:szCs w:val="24"/>
        </w:rPr>
        <w:t>Касум-ех</w:t>
      </w:r>
      <w:proofErr w:type="spellEnd"/>
      <w:r w:rsidRPr="00E83B5F">
        <w:rPr>
          <w:szCs w:val="24"/>
        </w:rPr>
        <w:t>» в с. Казым</w:t>
      </w:r>
      <w:r>
        <w:rPr>
          <w:szCs w:val="24"/>
        </w:rPr>
        <w:t xml:space="preserve">. </w:t>
      </w:r>
    </w:p>
    <w:p w:rsidR="0076714C" w:rsidRPr="002A4E73" w:rsidRDefault="0076714C" w:rsidP="006A7649">
      <w:pPr>
        <w:tabs>
          <w:tab w:val="left" w:pos="0"/>
        </w:tabs>
        <w:spacing w:line="276" w:lineRule="auto"/>
        <w:ind w:firstLine="720"/>
        <w:jc w:val="both"/>
        <w:rPr>
          <w:szCs w:val="24"/>
        </w:rPr>
      </w:pPr>
      <w:r w:rsidRPr="002A4E73">
        <w:rPr>
          <w:szCs w:val="24"/>
        </w:rPr>
        <w:t>В Белоярском районе функционируют 8 киноустановок общей мощностью 1 312 мест.</w:t>
      </w:r>
    </w:p>
    <w:p w:rsidR="0076714C" w:rsidRPr="002A4E73" w:rsidRDefault="0076714C" w:rsidP="006A7649">
      <w:pPr>
        <w:spacing w:line="276" w:lineRule="auto"/>
        <w:ind w:firstLine="720"/>
        <w:jc w:val="both"/>
        <w:rPr>
          <w:szCs w:val="24"/>
        </w:rPr>
      </w:pPr>
      <w:r w:rsidRPr="002A4E73">
        <w:rPr>
          <w:szCs w:val="24"/>
        </w:rPr>
        <w:t>В Белоярском районе функционирует 10 общедоступных библиотек (3 библиотеки  в городе Белоярский и 7 библиотек  в районе) с общим библиотечным фондом 181,5 тыс. единиц и с численностью читателей 13 381 человек. К 2022 году прогнозируется увеличение библиотечного фонда до 202,0 тыс. единиц, численностью читателей – 13,43 тыс. человек.</w:t>
      </w:r>
    </w:p>
    <w:p w:rsidR="0076714C" w:rsidRPr="002A4E73" w:rsidRDefault="0076714C" w:rsidP="006A7649">
      <w:pPr>
        <w:spacing w:line="276" w:lineRule="auto"/>
        <w:ind w:firstLine="709"/>
        <w:jc w:val="both"/>
        <w:rPr>
          <w:szCs w:val="24"/>
          <w:highlight w:val="yellow"/>
        </w:rPr>
      </w:pPr>
      <w:r w:rsidRPr="002A4E73">
        <w:rPr>
          <w:szCs w:val="24"/>
        </w:rPr>
        <w:t xml:space="preserve">В городе Белоярский действует муниципальное автономное образовательное учреждение дополнительного образования детей в области культуры «Детская школа искусств г. Белоярский», осуществляющее деятельность в 6 сельских поселениях. </w:t>
      </w:r>
      <w:r w:rsidRPr="002A4E73">
        <w:rPr>
          <w:szCs w:val="24"/>
        </w:rPr>
        <w:lastRenderedPageBreak/>
        <w:t xml:space="preserve">Мощность МАОУ ДОД в области культуры «Детская школа искусств г. Белоярский» составляет 624 места (фактически занимается   420 детей), из них 312 мест – в городе Белоярский. </w:t>
      </w:r>
    </w:p>
    <w:p w:rsidR="0076714C" w:rsidRPr="002A4E73" w:rsidRDefault="00AF3A8A" w:rsidP="006A7649">
      <w:pPr>
        <w:spacing w:line="276" w:lineRule="auto"/>
        <w:ind w:firstLine="709"/>
        <w:jc w:val="both"/>
        <w:rPr>
          <w:szCs w:val="24"/>
        </w:rPr>
      </w:pPr>
      <w:r>
        <w:rPr>
          <w:szCs w:val="24"/>
        </w:rPr>
        <w:t xml:space="preserve">На территории </w:t>
      </w:r>
      <w:r w:rsidR="0076714C" w:rsidRPr="002A4E73">
        <w:rPr>
          <w:szCs w:val="24"/>
        </w:rPr>
        <w:t xml:space="preserve">района функционирует </w:t>
      </w:r>
      <w:r w:rsidR="00415532">
        <w:rPr>
          <w:szCs w:val="24"/>
        </w:rPr>
        <w:t>Э</w:t>
      </w:r>
      <w:r w:rsidR="00C41FCE" w:rsidRPr="00E83B5F">
        <w:rPr>
          <w:szCs w:val="24"/>
        </w:rPr>
        <w:t>тнокультурный центр и Центр историко-культурного наследия «</w:t>
      </w:r>
      <w:proofErr w:type="spellStart"/>
      <w:r w:rsidR="00C41FCE" w:rsidRPr="00E83B5F">
        <w:rPr>
          <w:szCs w:val="24"/>
        </w:rPr>
        <w:t>Касум-ех</w:t>
      </w:r>
      <w:proofErr w:type="spellEnd"/>
      <w:r w:rsidR="00C41FCE" w:rsidRPr="00E83B5F">
        <w:rPr>
          <w:szCs w:val="24"/>
        </w:rPr>
        <w:t>» в с. Казым</w:t>
      </w:r>
      <w:r w:rsidR="0076714C" w:rsidRPr="002A4E73">
        <w:rPr>
          <w:szCs w:val="24"/>
        </w:rPr>
        <w:t xml:space="preserve"> с числом предметов основного и научно-вспомогательного фондов – 7 113 единиц хранения. </w:t>
      </w:r>
    </w:p>
    <w:p w:rsidR="0076714C" w:rsidRPr="0076714C" w:rsidRDefault="0076714C" w:rsidP="006A7649">
      <w:pPr>
        <w:spacing w:line="276" w:lineRule="auto"/>
        <w:ind w:firstLine="709"/>
        <w:rPr>
          <w:b/>
          <w:i/>
          <w:color w:val="FF0000"/>
          <w:szCs w:val="24"/>
        </w:rPr>
      </w:pPr>
    </w:p>
    <w:p w:rsidR="0076714C" w:rsidRPr="00F97075" w:rsidRDefault="0076714C" w:rsidP="006A7649">
      <w:pPr>
        <w:spacing w:line="276" w:lineRule="auto"/>
        <w:ind w:firstLine="709"/>
        <w:rPr>
          <w:b/>
          <w:i/>
          <w:szCs w:val="24"/>
        </w:rPr>
      </w:pPr>
      <w:r w:rsidRPr="00F97075">
        <w:rPr>
          <w:b/>
          <w:i/>
          <w:szCs w:val="24"/>
        </w:rPr>
        <w:t>Физическая культура и спорт</w:t>
      </w:r>
    </w:p>
    <w:p w:rsidR="0076714C" w:rsidRPr="00F97075" w:rsidRDefault="0076714C" w:rsidP="006A7649">
      <w:pPr>
        <w:pStyle w:val="a9"/>
        <w:spacing w:after="0" w:line="276" w:lineRule="auto"/>
        <w:ind w:left="0" w:firstLine="720"/>
        <w:jc w:val="both"/>
        <w:rPr>
          <w:szCs w:val="24"/>
        </w:rPr>
      </w:pPr>
      <w:r w:rsidRPr="00F97075">
        <w:rPr>
          <w:szCs w:val="24"/>
        </w:rPr>
        <w:t xml:space="preserve">Основная цель муниципальной политики в области физической культуры и спорта – формирование здорового образа жизни населения, гармоничное воспитание здорового, физически крепкого поколения. </w:t>
      </w:r>
    </w:p>
    <w:p w:rsidR="0076714C" w:rsidRPr="00F97075" w:rsidRDefault="0076714C" w:rsidP="006A7649">
      <w:pPr>
        <w:pStyle w:val="a9"/>
        <w:spacing w:after="0" w:line="276" w:lineRule="auto"/>
        <w:ind w:left="0" w:firstLine="720"/>
        <w:jc w:val="both"/>
        <w:rPr>
          <w:szCs w:val="24"/>
        </w:rPr>
      </w:pPr>
      <w:r w:rsidRPr="00F97075">
        <w:rPr>
          <w:szCs w:val="24"/>
        </w:rPr>
        <w:t>По состоянию на 1 января 2019 года на территории Белоярского района функционир</w:t>
      </w:r>
      <w:r w:rsidR="00CA01EA">
        <w:rPr>
          <w:szCs w:val="24"/>
        </w:rPr>
        <w:t>овали</w:t>
      </w:r>
      <w:r w:rsidRPr="00F97075">
        <w:rPr>
          <w:szCs w:val="24"/>
        </w:rPr>
        <w:t xml:space="preserve"> 140 сп</w:t>
      </w:r>
      <w:r w:rsidR="00CA01EA">
        <w:rPr>
          <w:szCs w:val="24"/>
        </w:rPr>
        <w:t>ортивных объектов, единовременной пропускной</w:t>
      </w:r>
      <w:r w:rsidRPr="00F97075">
        <w:rPr>
          <w:szCs w:val="24"/>
        </w:rPr>
        <w:t xml:space="preserve"> способность</w:t>
      </w:r>
      <w:r w:rsidR="00CA01EA">
        <w:rPr>
          <w:szCs w:val="24"/>
        </w:rPr>
        <w:t>ю</w:t>
      </w:r>
      <w:r w:rsidRPr="00F97075">
        <w:rPr>
          <w:szCs w:val="24"/>
        </w:rPr>
        <w:t xml:space="preserve"> 2 841 человек. Увеличение количества спортивных объектов произошло за счет ввода в эксплуатацию плоскостного сооружения в д. Нумто единовременной пропускной способностью 12 человек, фитнес-</w:t>
      </w:r>
      <w:r w:rsidR="00CA01EA">
        <w:rPr>
          <w:szCs w:val="24"/>
        </w:rPr>
        <w:t xml:space="preserve">клуба «Атом» в </w:t>
      </w:r>
      <w:r w:rsidRPr="00F97075">
        <w:rPr>
          <w:szCs w:val="24"/>
        </w:rPr>
        <w:t xml:space="preserve">г. Белоярский единовременной пропускной способностью 52 человека и универсальной игровой площадки единовременной пропускной способностью 18 человек, турникового комплекса </w:t>
      </w:r>
      <w:r w:rsidRPr="00F97075">
        <w:t xml:space="preserve">для занятий </w:t>
      </w:r>
      <w:r w:rsidRPr="00F97075">
        <w:rPr>
          <w:lang w:val="en-US"/>
        </w:rPr>
        <w:t>Street</w:t>
      </w:r>
      <w:r w:rsidRPr="00F97075">
        <w:t xml:space="preserve"> </w:t>
      </w:r>
      <w:r w:rsidRPr="00F97075">
        <w:rPr>
          <w:lang w:val="en-US"/>
        </w:rPr>
        <w:t>Workout</w:t>
      </w:r>
      <w:r w:rsidRPr="00F97075">
        <w:t xml:space="preserve"> в с.п. Сосновка единовременной пропускной способностью 12 человек и двух плоскостных сооружений в с. Ванзеват суммарной единовременной пропускной способностью 44 человека.</w:t>
      </w:r>
    </w:p>
    <w:p w:rsidR="0076714C" w:rsidRPr="00F97075" w:rsidRDefault="0076714C" w:rsidP="006A7649">
      <w:pPr>
        <w:spacing w:line="276" w:lineRule="auto"/>
        <w:ind w:firstLine="720"/>
        <w:jc w:val="both"/>
        <w:rPr>
          <w:szCs w:val="24"/>
        </w:rPr>
      </w:pPr>
      <w:r w:rsidRPr="00F97075">
        <w:rPr>
          <w:szCs w:val="24"/>
        </w:rPr>
        <w:t xml:space="preserve">Доля населения, систематически занимающегося физической культурой и спортом, составила 46% от общей численности населения Белоярского района. </w:t>
      </w:r>
    </w:p>
    <w:p w:rsidR="0076714C" w:rsidRPr="00F97075" w:rsidRDefault="0076714C" w:rsidP="006A7649">
      <w:pPr>
        <w:pStyle w:val="a9"/>
        <w:spacing w:after="0" w:line="276" w:lineRule="auto"/>
        <w:ind w:left="0" w:firstLine="720"/>
        <w:jc w:val="right"/>
        <w:rPr>
          <w:szCs w:val="24"/>
        </w:rPr>
      </w:pPr>
      <w:r w:rsidRPr="00F97075">
        <w:rPr>
          <w:szCs w:val="24"/>
        </w:rPr>
        <w:t>Диаграмма 1</w:t>
      </w:r>
      <w:r w:rsidR="00E9683B">
        <w:rPr>
          <w:szCs w:val="24"/>
        </w:rPr>
        <w:t>4</w:t>
      </w:r>
    </w:p>
    <w:p w:rsidR="0076714C" w:rsidRPr="0076714C" w:rsidRDefault="00E16FEF" w:rsidP="006A7649">
      <w:pPr>
        <w:spacing w:line="276" w:lineRule="auto"/>
        <w:jc w:val="center"/>
        <w:rPr>
          <w:color w:val="FF0000"/>
          <w:szCs w:val="24"/>
        </w:rPr>
      </w:pPr>
      <w:r>
        <w:rPr>
          <w:noProof/>
        </w:rPr>
        <w:drawing>
          <wp:inline distT="0" distB="0" distL="0" distR="0" wp14:anchorId="1C40E832" wp14:editId="011894EB">
            <wp:extent cx="5514975" cy="31908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6714C" w:rsidRPr="00F97075" w:rsidRDefault="0076714C" w:rsidP="006A7649">
      <w:pPr>
        <w:spacing w:line="276" w:lineRule="auto"/>
        <w:ind w:firstLine="709"/>
        <w:jc w:val="both"/>
        <w:outlineLvl w:val="0"/>
        <w:rPr>
          <w:szCs w:val="24"/>
        </w:rPr>
      </w:pPr>
      <w:r w:rsidRPr="00F97075">
        <w:rPr>
          <w:szCs w:val="24"/>
        </w:rPr>
        <w:t xml:space="preserve">В целях увеличения единовременной пропускной способности объектов физической культуры и спорта в 2019 году планируется ввести в эксплуатацию спортивный центр с плавательным бассейном в п. </w:t>
      </w:r>
      <w:r w:rsidR="00D56D3C">
        <w:rPr>
          <w:szCs w:val="24"/>
        </w:rPr>
        <w:t>Сосновка</w:t>
      </w:r>
      <w:r w:rsidRPr="00F97075">
        <w:rPr>
          <w:szCs w:val="24"/>
        </w:rPr>
        <w:t xml:space="preserve"> единоврем</w:t>
      </w:r>
      <w:r w:rsidR="00D56D3C">
        <w:rPr>
          <w:szCs w:val="24"/>
        </w:rPr>
        <w:t>енной пропускной способностью 38 человек</w:t>
      </w:r>
      <w:r w:rsidRPr="00F97075">
        <w:rPr>
          <w:szCs w:val="24"/>
        </w:rPr>
        <w:t xml:space="preserve">, </w:t>
      </w:r>
      <w:r w:rsidR="00D56D3C">
        <w:rPr>
          <w:szCs w:val="24"/>
        </w:rPr>
        <w:t xml:space="preserve">в г. Белоярский планируется </w:t>
      </w:r>
      <w:r w:rsidRPr="00F97075">
        <w:rPr>
          <w:szCs w:val="24"/>
        </w:rPr>
        <w:t xml:space="preserve">ввод в эксплуатацию спортивных объектов единовременной </w:t>
      </w:r>
      <w:r w:rsidR="00F97075" w:rsidRPr="00F97075">
        <w:rPr>
          <w:szCs w:val="24"/>
        </w:rPr>
        <w:t>пропускной способностью 63</w:t>
      </w:r>
      <w:r w:rsidRPr="00F97075">
        <w:rPr>
          <w:szCs w:val="24"/>
        </w:rPr>
        <w:t xml:space="preserve"> человек</w:t>
      </w:r>
      <w:r w:rsidR="00F97075" w:rsidRPr="00F97075">
        <w:rPr>
          <w:szCs w:val="24"/>
        </w:rPr>
        <w:t>а</w:t>
      </w:r>
      <w:r w:rsidRPr="00F97075">
        <w:rPr>
          <w:szCs w:val="24"/>
        </w:rPr>
        <w:t xml:space="preserve"> (плоскостные сооружения будут относится к новой школе)</w:t>
      </w:r>
      <w:r w:rsidR="00F97075" w:rsidRPr="00F97075">
        <w:rPr>
          <w:szCs w:val="24"/>
        </w:rPr>
        <w:t xml:space="preserve">. </w:t>
      </w:r>
      <w:proofErr w:type="gramStart"/>
      <w:r w:rsidR="00F97075" w:rsidRPr="00F97075">
        <w:rPr>
          <w:szCs w:val="24"/>
        </w:rPr>
        <w:t>Введены</w:t>
      </w:r>
      <w:proofErr w:type="gramEnd"/>
      <w:r w:rsidR="00F97075" w:rsidRPr="00F97075">
        <w:rPr>
          <w:szCs w:val="24"/>
        </w:rPr>
        <w:t xml:space="preserve"> в эксплуатацию 2 турниковых</w:t>
      </w:r>
      <w:r w:rsidRPr="00F97075">
        <w:rPr>
          <w:szCs w:val="24"/>
        </w:rPr>
        <w:t xml:space="preserve"> </w:t>
      </w:r>
      <w:r w:rsidRPr="00F97075">
        <w:rPr>
          <w:szCs w:val="24"/>
        </w:rPr>
        <w:lastRenderedPageBreak/>
        <w:t>комплекс</w:t>
      </w:r>
      <w:r w:rsidR="00F97075" w:rsidRPr="00F97075">
        <w:rPr>
          <w:szCs w:val="24"/>
        </w:rPr>
        <w:t>а</w:t>
      </w:r>
      <w:r w:rsidR="00E16E1C">
        <w:rPr>
          <w:szCs w:val="24"/>
        </w:rPr>
        <w:t xml:space="preserve"> в с.п. Верхнеказымский и </w:t>
      </w:r>
      <w:r w:rsidR="00D56D3C">
        <w:rPr>
          <w:szCs w:val="24"/>
        </w:rPr>
        <w:t xml:space="preserve"> </w:t>
      </w:r>
      <w:r w:rsidR="00E16E1C">
        <w:rPr>
          <w:szCs w:val="24"/>
        </w:rPr>
        <w:t xml:space="preserve">с. Ванзеват </w:t>
      </w:r>
      <w:r w:rsidRPr="00F97075">
        <w:rPr>
          <w:szCs w:val="24"/>
        </w:rPr>
        <w:t>сумм</w:t>
      </w:r>
      <w:r w:rsidR="00E16E1C">
        <w:rPr>
          <w:szCs w:val="24"/>
        </w:rPr>
        <w:t>арной пропускной способностью 24</w:t>
      </w:r>
      <w:r w:rsidR="00F97075" w:rsidRPr="00F97075">
        <w:rPr>
          <w:szCs w:val="24"/>
        </w:rPr>
        <w:t xml:space="preserve"> человека</w:t>
      </w:r>
      <w:r w:rsidR="0010014F">
        <w:rPr>
          <w:szCs w:val="24"/>
        </w:rPr>
        <w:t xml:space="preserve"> (по 12 человек)</w:t>
      </w:r>
      <w:r w:rsidR="00E16E1C">
        <w:rPr>
          <w:szCs w:val="24"/>
        </w:rPr>
        <w:t>,</w:t>
      </w:r>
      <w:r w:rsidR="00E16E1C" w:rsidRPr="00F97075">
        <w:rPr>
          <w:szCs w:val="24"/>
        </w:rPr>
        <w:t xml:space="preserve"> </w:t>
      </w:r>
      <w:proofErr w:type="spellStart"/>
      <w:r w:rsidR="00E16E1C" w:rsidRPr="00F97075">
        <w:rPr>
          <w:szCs w:val="24"/>
        </w:rPr>
        <w:t>Скейт</w:t>
      </w:r>
      <w:proofErr w:type="spellEnd"/>
      <w:r w:rsidR="00E16E1C" w:rsidRPr="00F97075">
        <w:rPr>
          <w:szCs w:val="24"/>
        </w:rPr>
        <w:t>-парк</w:t>
      </w:r>
      <w:r w:rsidR="00E16E1C">
        <w:rPr>
          <w:szCs w:val="24"/>
        </w:rPr>
        <w:t xml:space="preserve"> на 50 человек и</w:t>
      </w:r>
      <w:r w:rsidR="00F97075" w:rsidRPr="00F97075">
        <w:rPr>
          <w:szCs w:val="24"/>
        </w:rPr>
        <w:t xml:space="preserve"> площадка ГТО единовременной пропускной способностью</w:t>
      </w:r>
      <w:r w:rsidRPr="00F97075">
        <w:rPr>
          <w:szCs w:val="24"/>
        </w:rPr>
        <w:t xml:space="preserve"> </w:t>
      </w:r>
      <w:r w:rsidR="00F97075">
        <w:rPr>
          <w:szCs w:val="24"/>
        </w:rPr>
        <w:t>18 че</w:t>
      </w:r>
      <w:r w:rsidR="00F97075" w:rsidRPr="00F97075">
        <w:rPr>
          <w:szCs w:val="24"/>
        </w:rPr>
        <w:t>ловек</w:t>
      </w:r>
      <w:r w:rsidR="00E16E1C">
        <w:rPr>
          <w:szCs w:val="24"/>
        </w:rPr>
        <w:t xml:space="preserve"> в</w:t>
      </w:r>
      <w:r w:rsidR="00D56D3C">
        <w:rPr>
          <w:szCs w:val="24"/>
        </w:rPr>
        <w:t xml:space="preserve">  </w:t>
      </w:r>
      <w:r w:rsidR="00E16E1C">
        <w:rPr>
          <w:szCs w:val="24"/>
        </w:rPr>
        <w:t>г. Белоярский</w:t>
      </w:r>
      <w:r w:rsidR="00F97075" w:rsidRPr="00F97075">
        <w:rPr>
          <w:szCs w:val="24"/>
        </w:rPr>
        <w:t>.</w:t>
      </w:r>
    </w:p>
    <w:p w:rsidR="0076714C" w:rsidRPr="00F97075" w:rsidRDefault="0076714C" w:rsidP="006A7649">
      <w:pPr>
        <w:spacing w:line="276" w:lineRule="auto"/>
        <w:ind w:firstLine="709"/>
        <w:jc w:val="both"/>
        <w:outlineLvl w:val="0"/>
        <w:rPr>
          <w:szCs w:val="24"/>
        </w:rPr>
      </w:pPr>
      <w:r w:rsidRPr="00F97075">
        <w:rPr>
          <w:szCs w:val="24"/>
        </w:rPr>
        <w:t>В 2020 году единовременная пропускная способность б</w:t>
      </w:r>
      <w:r w:rsidR="00D56D3C">
        <w:rPr>
          <w:szCs w:val="24"/>
        </w:rPr>
        <w:t>удет увеличена на              104</w:t>
      </w:r>
      <w:r w:rsidRPr="00F97075">
        <w:rPr>
          <w:szCs w:val="24"/>
        </w:rPr>
        <w:t xml:space="preserve"> человека за счет ввода в эксплуатацию общеобразовательной школы в г. Белоярский</w:t>
      </w:r>
      <w:r w:rsidR="00D52215">
        <w:rPr>
          <w:szCs w:val="24"/>
        </w:rPr>
        <w:t>, в которой будут располагаться 2 спортивных зала</w:t>
      </w:r>
      <w:r w:rsidRPr="00F97075">
        <w:rPr>
          <w:szCs w:val="24"/>
        </w:rPr>
        <w:t>, а</w:t>
      </w:r>
      <w:r w:rsidR="00D52215">
        <w:rPr>
          <w:szCs w:val="24"/>
        </w:rPr>
        <w:t xml:space="preserve"> также плавательного бассейна</w:t>
      </w:r>
      <w:r w:rsidR="00D56D3C">
        <w:rPr>
          <w:szCs w:val="24"/>
        </w:rPr>
        <w:t xml:space="preserve"> и турникового комплекса в </w:t>
      </w:r>
      <w:r w:rsidRPr="00F97075">
        <w:rPr>
          <w:szCs w:val="24"/>
        </w:rPr>
        <w:t xml:space="preserve">п. </w:t>
      </w:r>
      <w:r w:rsidR="00D56D3C">
        <w:rPr>
          <w:szCs w:val="24"/>
        </w:rPr>
        <w:t>Верхнеказымский</w:t>
      </w:r>
      <w:r w:rsidRPr="00F97075">
        <w:rPr>
          <w:szCs w:val="24"/>
        </w:rPr>
        <w:t>. В 2021 году планируется ввод в эксплу</w:t>
      </w:r>
      <w:r w:rsidR="00D56D3C">
        <w:rPr>
          <w:szCs w:val="24"/>
        </w:rPr>
        <w:t xml:space="preserve">атацию плавательного бассейна </w:t>
      </w:r>
      <w:r w:rsidR="00D56D3C" w:rsidRPr="00F97075">
        <w:rPr>
          <w:szCs w:val="24"/>
        </w:rPr>
        <w:t xml:space="preserve">и турникового комплекса </w:t>
      </w:r>
      <w:r w:rsidR="00D56D3C">
        <w:rPr>
          <w:szCs w:val="24"/>
        </w:rPr>
        <w:t xml:space="preserve">в </w:t>
      </w:r>
      <w:r w:rsidRPr="00F97075">
        <w:rPr>
          <w:szCs w:val="24"/>
        </w:rPr>
        <w:t>г. Белоярский суммарной единовременной пропускной способностью 50 человек. В 2022 году – турниковый комплекс единовременной пропускной способность</w:t>
      </w:r>
      <w:r w:rsidR="00D52215">
        <w:rPr>
          <w:szCs w:val="24"/>
        </w:rPr>
        <w:t>ю 12 человек в</w:t>
      </w:r>
      <w:r w:rsidRPr="00F97075">
        <w:rPr>
          <w:szCs w:val="24"/>
        </w:rPr>
        <w:t xml:space="preserve"> </w:t>
      </w:r>
      <w:r w:rsidR="00D56D3C">
        <w:rPr>
          <w:szCs w:val="24"/>
        </w:rPr>
        <w:t xml:space="preserve">                 </w:t>
      </w:r>
      <w:r w:rsidRPr="00F97075">
        <w:rPr>
          <w:szCs w:val="24"/>
        </w:rPr>
        <w:t>г. Белоярский.</w:t>
      </w:r>
    </w:p>
    <w:p w:rsidR="0076714C" w:rsidRPr="00F97075" w:rsidRDefault="0076714C" w:rsidP="006A7649">
      <w:pPr>
        <w:spacing w:line="276" w:lineRule="auto"/>
        <w:ind w:firstLine="720"/>
        <w:jc w:val="both"/>
        <w:rPr>
          <w:szCs w:val="24"/>
        </w:rPr>
      </w:pPr>
      <w:r w:rsidRPr="00F97075">
        <w:rPr>
          <w:szCs w:val="24"/>
        </w:rPr>
        <w:t xml:space="preserve">В Белоярском районе действуют 3 плавательных бассейна с общей площадью зеркала воды 738 кв.м. (г. Белоярский, п. Лыхма, п. Сорум). В прогнозном 2022 году на территории района будут действовать 6 плавательных бассейнов, что будет способствовать значительному увеличению численности населения, систематически занимающегося физической культурой и спортом.   </w:t>
      </w:r>
      <w:r w:rsidR="00D56D3C">
        <w:rPr>
          <w:szCs w:val="24"/>
        </w:rPr>
        <w:t xml:space="preserve"> </w:t>
      </w:r>
    </w:p>
    <w:p w:rsidR="0076714C" w:rsidRPr="000758BC" w:rsidRDefault="0076714C" w:rsidP="006A7649">
      <w:pPr>
        <w:spacing w:line="276" w:lineRule="auto"/>
        <w:ind w:firstLine="709"/>
        <w:rPr>
          <w:b/>
          <w:i/>
          <w:szCs w:val="24"/>
        </w:rPr>
      </w:pPr>
    </w:p>
    <w:p w:rsidR="008A69E3" w:rsidRPr="00C825C8" w:rsidRDefault="008A69E3" w:rsidP="006A7649">
      <w:pPr>
        <w:spacing w:line="276" w:lineRule="auto"/>
        <w:ind w:firstLine="709"/>
        <w:jc w:val="center"/>
        <w:rPr>
          <w:b/>
          <w:szCs w:val="24"/>
        </w:rPr>
      </w:pPr>
      <w:r w:rsidRPr="00C825C8">
        <w:rPr>
          <w:b/>
          <w:szCs w:val="24"/>
        </w:rPr>
        <w:t>Бюджет</w:t>
      </w:r>
    </w:p>
    <w:p w:rsidR="008A69E3" w:rsidRPr="00D93506" w:rsidRDefault="008A69E3" w:rsidP="006A7649">
      <w:pPr>
        <w:spacing w:line="276" w:lineRule="auto"/>
        <w:ind w:firstLine="709"/>
        <w:jc w:val="center"/>
        <w:rPr>
          <w:b/>
          <w:color w:val="FF0000"/>
          <w:szCs w:val="24"/>
        </w:rPr>
      </w:pPr>
    </w:p>
    <w:p w:rsidR="00C825C8" w:rsidRPr="002D0C8D" w:rsidRDefault="008A69E3" w:rsidP="006A7649">
      <w:pPr>
        <w:spacing w:line="276" w:lineRule="auto"/>
        <w:ind w:firstLine="708"/>
        <w:jc w:val="both"/>
        <w:rPr>
          <w:szCs w:val="24"/>
        </w:rPr>
      </w:pPr>
      <w:r w:rsidRPr="00D93506">
        <w:rPr>
          <w:caps/>
          <w:color w:val="FF0000"/>
          <w:szCs w:val="24"/>
        </w:rPr>
        <w:tab/>
      </w:r>
      <w:hyperlink r:id="rId23" w:tgtFrame="_top" w:history="1">
        <w:r w:rsidR="00C825C8" w:rsidRPr="002D0C8D">
          <w:rPr>
            <w:rStyle w:val="af"/>
            <w:color w:val="auto"/>
            <w:u w:val="none"/>
          </w:rPr>
          <w:t xml:space="preserve">Доходная часть </w:t>
        </w:r>
        <w:r w:rsidR="00C825C8" w:rsidRPr="002D0C8D">
          <w:rPr>
            <w:rStyle w:val="af"/>
            <w:b w:val="0"/>
            <w:color w:val="auto"/>
            <w:u w:val="none"/>
          </w:rPr>
          <w:t>консолидированного бюджета</w:t>
        </w:r>
      </w:hyperlink>
      <w:r w:rsidR="00C825C8" w:rsidRPr="002D0C8D">
        <w:t xml:space="preserve"> </w:t>
      </w:r>
      <w:r w:rsidR="00C825C8" w:rsidRPr="002D0C8D">
        <w:rPr>
          <w:szCs w:val="24"/>
        </w:rPr>
        <w:t>Белоярского района за                              2018 год составила 3292,7</w:t>
      </w:r>
      <w:r w:rsidR="00C825C8" w:rsidRPr="002D0C8D">
        <w:rPr>
          <w:bCs/>
          <w:szCs w:val="24"/>
        </w:rPr>
        <w:t xml:space="preserve"> млн. </w:t>
      </w:r>
      <w:r w:rsidR="00C825C8" w:rsidRPr="002D0C8D">
        <w:rPr>
          <w:szCs w:val="24"/>
        </w:rPr>
        <w:t>рублей. По оценке 2019 года доходная часть консолидированного бюджета составит 4012,5 млн. руб. В прогнозном периоде 2020-2022 годов доходы  составят: 2020 год  -4337,7 млн. руб., 2021 год – 3538,7 млн. руб., 2022 год – 3630,7 млн. руб.</w:t>
      </w:r>
    </w:p>
    <w:p w:rsidR="00C825C8" w:rsidRPr="002D0C8D" w:rsidRDefault="00C825C8" w:rsidP="006A7649">
      <w:pPr>
        <w:numPr>
          <w:ilvl w:val="12"/>
          <w:numId w:val="0"/>
        </w:numPr>
        <w:spacing w:line="276" w:lineRule="auto"/>
        <w:ind w:firstLine="709"/>
        <w:jc w:val="both"/>
        <w:rPr>
          <w:szCs w:val="24"/>
        </w:rPr>
      </w:pPr>
      <w:r w:rsidRPr="002D0C8D">
        <w:rPr>
          <w:szCs w:val="24"/>
        </w:rPr>
        <w:t xml:space="preserve">Доходы, поступающие в </w:t>
      </w:r>
      <w:hyperlink r:id="rId24" w:tgtFrame="_top" w:history="1">
        <w:r w:rsidRPr="002D0C8D">
          <w:rPr>
            <w:rStyle w:val="af"/>
            <w:b w:val="0"/>
            <w:color w:val="auto"/>
            <w:u w:val="none"/>
          </w:rPr>
          <w:t>консолидированный бюджет</w:t>
        </w:r>
      </w:hyperlink>
      <w:r w:rsidRPr="002D0C8D">
        <w:t xml:space="preserve"> </w:t>
      </w:r>
      <w:r w:rsidRPr="002D0C8D">
        <w:rPr>
          <w:szCs w:val="24"/>
        </w:rPr>
        <w:t xml:space="preserve">Белоярского района в 2019 году, распределятся следующим образом: 20 % составят налоговые доходы, 2 % - неналоговые, 78% - безвозмездные поступления. В 2020 году доходы распределятся следующим образом: 18 % составят налоговые доходы, 2 % - неналоговые, 80% - безвозмездные поступления. </w:t>
      </w:r>
    </w:p>
    <w:p w:rsidR="006A7649" w:rsidRDefault="006A7649" w:rsidP="008E1F86">
      <w:pPr>
        <w:numPr>
          <w:ilvl w:val="12"/>
          <w:numId w:val="0"/>
        </w:numPr>
        <w:spacing w:line="276" w:lineRule="auto"/>
        <w:rPr>
          <w:szCs w:val="24"/>
        </w:rPr>
      </w:pPr>
    </w:p>
    <w:p w:rsidR="00C825C8" w:rsidRPr="008E1F86" w:rsidRDefault="00C825C8" w:rsidP="008E1F86">
      <w:pPr>
        <w:numPr>
          <w:ilvl w:val="12"/>
          <w:numId w:val="0"/>
        </w:numPr>
        <w:spacing w:line="276" w:lineRule="auto"/>
        <w:ind w:firstLine="709"/>
        <w:jc w:val="right"/>
        <w:rPr>
          <w:szCs w:val="24"/>
        </w:rPr>
      </w:pPr>
      <w:r w:rsidRPr="002D0C8D">
        <w:rPr>
          <w:szCs w:val="24"/>
        </w:rPr>
        <w:t xml:space="preserve">Диаграмма </w:t>
      </w:r>
      <w:r w:rsidR="00E9683B">
        <w:rPr>
          <w:szCs w:val="24"/>
        </w:rPr>
        <w:t>15</w:t>
      </w:r>
    </w:p>
    <w:p w:rsidR="00C825C8" w:rsidRPr="00235CD0" w:rsidRDefault="00C825C8" w:rsidP="006A7649">
      <w:pPr>
        <w:spacing w:line="276" w:lineRule="auto"/>
        <w:jc w:val="center"/>
        <w:rPr>
          <w:color w:val="FF0000"/>
          <w:szCs w:val="24"/>
        </w:rPr>
      </w:pPr>
      <w:r>
        <w:rPr>
          <w:noProof/>
        </w:rPr>
        <w:drawing>
          <wp:inline distT="0" distB="0" distL="0" distR="0" wp14:anchorId="2715AB2D" wp14:editId="0554B2D9">
            <wp:extent cx="4572000" cy="2830286"/>
            <wp:effectExtent l="0" t="0" r="0"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25C8" w:rsidRPr="00235CD0" w:rsidRDefault="00C825C8" w:rsidP="006A7649">
      <w:pPr>
        <w:spacing w:line="276" w:lineRule="auto"/>
        <w:ind w:firstLine="708"/>
        <w:jc w:val="both"/>
        <w:rPr>
          <w:color w:val="FF0000"/>
          <w:szCs w:val="24"/>
        </w:rPr>
      </w:pPr>
      <w:r w:rsidRPr="00235CD0">
        <w:rPr>
          <w:color w:val="FF0000"/>
          <w:szCs w:val="24"/>
        </w:rPr>
        <w:tab/>
      </w:r>
    </w:p>
    <w:p w:rsidR="00C825C8" w:rsidRPr="002D0C8D" w:rsidRDefault="00BF594B" w:rsidP="006A7649">
      <w:pPr>
        <w:spacing w:line="276" w:lineRule="auto"/>
        <w:ind w:firstLine="708"/>
        <w:jc w:val="both"/>
        <w:rPr>
          <w:szCs w:val="24"/>
        </w:rPr>
      </w:pPr>
      <w:hyperlink r:id="rId26" w:tgtFrame="_top" w:history="1">
        <w:r w:rsidR="00C825C8" w:rsidRPr="002D0C8D">
          <w:rPr>
            <w:rStyle w:val="af"/>
            <w:color w:val="auto"/>
            <w:u w:val="none"/>
          </w:rPr>
          <w:t xml:space="preserve">Расходная часть </w:t>
        </w:r>
        <w:r w:rsidR="00C825C8" w:rsidRPr="002D0C8D">
          <w:rPr>
            <w:rStyle w:val="af"/>
            <w:b w:val="0"/>
            <w:color w:val="auto"/>
            <w:u w:val="none"/>
          </w:rPr>
          <w:t>консолидированного бюджета</w:t>
        </w:r>
      </w:hyperlink>
      <w:r w:rsidR="00C825C8" w:rsidRPr="002D0C8D">
        <w:t xml:space="preserve"> </w:t>
      </w:r>
      <w:r w:rsidR="00C825C8" w:rsidRPr="002D0C8D">
        <w:rPr>
          <w:szCs w:val="24"/>
        </w:rPr>
        <w:t xml:space="preserve">Белоярского района за                              2018 год составила </w:t>
      </w:r>
      <w:r w:rsidR="00C825C8" w:rsidRPr="002D0C8D">
        <w:rPr>
          <w:bCs/>
          <w:szCs w:val="24"/>
        </w:rPr>
        <w:t xml:space="preserve">3343,1 млн. </w:t>
      </w:r>
      <w:r w:rsidR="00C825C8" w:rsidRPr="002D0C8D">
        <w:rPr>
          <w:szCs w:val="24"/>
        </w:rPr>
        <w:t>рублей. По оценке 2019 года расходная часть консолидированного бюджета составит 4140,7 млн. руб. В прогнозном периоде 2020-2022 годов расходы  составят: 2020 год – 4394,3 млн. руб., 2021 год – 3596 млн. руб., 2022 год – 3688,4 млн. руб.</w:t>
      </w:r>
    </w:p>
    <w:p w:rsidR="00C825C8" w:rsidRPr="002D0C8D" w:rsidRDefault="00C825C8" w:rsidP="006A7649">
      <w:pPr>
        <w:pStyle w:val="ConsPlusNormal"/>
        <w:spacing w:line="276" w:lineRule="auto"/>
        <w:jc w:val="both"/>
        <w:rPr>
          <w:rFonts w:ascii="Times New Roman" w:hAnsi="Times New Roman" w:cs="Times New Roman"/>
          <w:sz w:val="24"/>
          <w:szCs w:val="24"/>
        </w:rPr>
      </w:pPr>
      <w:proofErr w:type="gramStart"/>
      <w:r w:rsidRPr="002D0C8D">
        <w:rPr>
          <w:rFonts w:ascii="Times New Roman" w:hAnsi="Times New Roman" w:cs="Times New Roman"/>
          <w:sz w:val="24"/>
          <w:szCs w:val="24"/>
        </w:rPr>
        <w:t xml:space="preserve">По оценке 2019 года </w:t>
      </w:r>
      <w:r w:rsidRPr="002D0C8D">
        <w:rPr>
          <w:rFonts w:ascii="Times New Roman" w:hAnsi="Times New Roman" w:cs="Times New Roman"/>
          <w:b/>
          <w:sz w:val="24"/>
          <w:szCs w:val="24"/>
        </w:rPr>
        <w:t>дефицит</w:t>
      </w:r>
      <w:r w:rsidRPr="002D0C8D">
        <w:rPr>
          <w:rFonts w:ascii="Times New Roman" w:hAnsi="Times New Roman" w:cs="Times New Roman"/>
          <w:sz w:val="24"/>
          <w:szCs w:val="24"/>
        </w:rPr>
        <w:t xml:space="preserve"> консолидированного бюджета Белоярского района составит 128,2 млн. руб. В прогнозном периоде дефицит составит: 2020 год  - 56,6 млн. руб.,  2021 год -57,3 млн. руб.,  2022 год – 57,7 млн. руб. Источником покрытия дефицита бюджета района в 2019-2022 годах будут являться остатки средств на счете бюджета на начало очередного финансового года.</w:t>
      </w:r>
      <w:proofErr w:type="gramEnd"/>
    </w:p>
    <w:p w:rsidR="00C825C8" w:rsidRDefault="00C825C8" w:rsidP="006A7649">
      <w:pPr>
        <w:pStyle w:val="ConsPlusNormal"/>
        <w:spacing w:line="276" w:lineRule="auto"/>
        <w:ind w:firstLine="708"/>
        <w:jc w:val="both"/>
        <w:rPr>
          <w:rFonts w:ascii="Times New Roman" w:hAnsi="Times New Roman" w:cs="Times New Roman"/>
          <w:caps/>
          <w:color w:val="FF0000"/>
          <w:sz w:val="24"/>
          <w:szCs w:val="24"/>
        </w:rPr>
      </w:pPr>
      <w:r w:rsidRPr="00235CD0">
        <w:rPr>
          <w:rFonts w:ascii="Times New Roman" w:hAnsi="Times New Roman" w:cs="Times New Roman"/>
          <w:caps/>
          <w:color w:val="FF0000"/>
          <w:sz w:val="24"/>
          <w:szCs w:val="24"/>
        </w:rPr>
        <w:tab/>
      </w:r>
    </w:p>
    <w:p w:rsidR="00646371" w:rsidRPr="00235CD0" w:rsidRDefault="00646371" w:rsidP="006A7649">
      <w:pPr>
        <w:pStyle w:val="ConsPlusNormal"/>
        <w:spacing w:line="276" w:lineRule="auto"/>
        <w:ind w:firstLine="708"/>
        <w:jc w:val="both"/>
        <w:rPr>
          <w:rFonts w:ascii="Times New Roman" w:hAnsi="Times New Roman" w:cs="Times New Roman"/>
          <w:caps/>
          <w:color w:val="FF0000"/>
          <w:sz w:val="24"/>
          <w:szCs w:val="24"/>
        </w:rPr>
      </w:pPr>
    </w:p>
    <w:p w:rsidR="008A69E3" w:rsidRPr="00646371" w:rsidRDefault="00646371" w:rsidP="006A7649">
      <w:pPr>
        <w:spacing w:line="276" w:lineRule="auto"/>
        <w:jc w:val="center"/>
        <w:rPr>
          <w:caps/>
          <w:szCs w:val="24"/>
        </w:rPr>
      </w:pPr>
      <w:r w:rsidRPr="00646371">
        <w:rPr>
          <w:caps/>
          <w:szCs w:val="24"/>
        </w:rPr>
        <w:t>_________________</w:t>
      </w:r>
    </w:p>
    <w:p w:rsidR="008A69E3" w:rsidRPr="00D93506" w:rsidRDefault="008A69E3" w:rsidP="006A7649">
      <w:pPr>
        <w:spacing w:line="276" w:lineRule="auto"/>
        <w:ind w:left="-567" w:firstLine="425"/>
        <w:jc w:val="center"/>
        <w:rPr>
          <w:b/>
          <w:color w:val="FF0000"/>
          <w:szCs w:val="24"/>
        </w:rPr>
      </w:pPr>
    </w:p>
    <w:sectPr w:rsidR="008A69E3" w:rsidRPr="00D93506" w:rsidSect="00E9683B">
      <w:headerReference w:type="default" r:id="rId27"/>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6A2" w:rsidRDefault="00F046A2" w:rsidP="00500145">
      <w:r>
        <w:separator/>
      </w:r>
    </w:p>
  </w:endnote>
  <w:endnote w:type="continuationSeparator" w:id="0">
    <w:p w:rsidR="00F046A2" w:rsidRDefault="00F046A2" w:rsidP="00500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6A2" w:rsidRDefault="00F046A2" w:rsidP="00500145">
      <w:r>
        <w:separator/>
      </w:r>
    </w:p>
  </w:footnote>
  <w:footnote w:type="continuationSeparator" w:id="0">
    <w:p w:rsidR="00F046A2" w:rsidRDefault="00F046A2" w:rsidP="005001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3219"/>
      <w:docPartObj>
        <w:docPartGallery w:val="Page Numbers (Top of Page)"/>
        <w:docPartUnique/>
      </w:docPartObj>
    </w:sdtPr>
    <w:sdtContent>
      <w:p w:rsidR="00F046A2" w:rsidRDefault="00F046A2">
        <w:pPr>
          <w:pStyle w:val="af3"/>
          <w:jc w:val="center"/>
        </w:pPr>
        <w:r>
          <w:fldChar w:fldCharType="begin"/>
        </w:r>
        <w:r>
          <w:instrText xml:space="preserve"> PAGE   \* MERGEFORMAT </w:instrText>
        </w:r>
        <w:r>
          <w:fldChar w:fldCharType="separate"/>
        </w:r>
        <w:r w:rsidR="008E1F86">
          <w:rPr>
            <w:noProof/>
          </w:rPr>
          <w:t>2</w:t>
        </w:r>
        <w:r>
          <w:rPr>
            <w:noProof/>
          </w:rPr>
          <w:fldChar w:fldCharType="end"/>
        </w:r>
      </w:p>
    </w:sdtContent>
  </w:sdt>
  <w:p w:rsidR="00F046A2" w:rsidRDefault="00F046A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62D"/>
    <w:multiLevelType w:val="hybridMultilevel"/>
    <w:tmpl w:val="0338E7E2"/>
    <w:lvl w:ilvl="0" w:tplc="7EA04D6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CB6D9B"/>
    <w:multiLevelType w:val="hybridMultilevel"/>
    <w:tmpl w:val="68864112"/>
    <w:lvl w:ilvl="0" w:tplc="0CC2E036">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054747"/>
    <w:multiLevelType w:val="hybridMultilevel"/>
    <w:tmpl w:val="7228D65E"/>
    <w:lvl w:ilvl="0" w:tplc="0CC2E03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975D04"/>
    <w:multiLevelType w:val="hybridMultilevel"/>
    <w:tmpl w:val="55CE54AA"/>
    <w:lvl w:ilvl="0" w:tplc="4DC87BB8">
      <w:start w:val="1"/>
      <w:numFmt w:val="bullet"/>
      <w:lvlText w:val=""/>
      <w:lvlJc w:val="left"/>
      <w:pPr>
        <w:tabs>
          <w:tab w:val="num" w:pos="1567"/>
        </w:tabs>
        <w:ind w:left="1567" w:hanging="360"/>
      </w:pPr>
      <w:rPr>
        <w:rFonts w:ascii="Symbol" w:hAnsi="Symbol" w:hint="default"/>
        <w:color w:val="auto"/>
      </w:rPr>
    </w:lvl>
    <w:lvl w:ilvl="1" w:tplc="4DC87BB8">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C53AD1"/>
    <w:multiLevelType w:val="hybridMultilevel"/>
    <w:tmpl w:val="6D746E66"/>
    <w:lvl w:ilvl="0" w:tplc="C714FC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4D5013"/>
    <w:multiLevelType w:val="hybridMultilevel"/>
    <w:tmpl w:val="74541A0C"/>
    <w:lvl w:ilvl="0" w:tplc="C714FC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7521D8A"/>
    <w:multiLevelType w:val="hybridMultilevel"/>
    <w:tmpl w:val="E07483E8"/>
    <w:lvl w:ilvl="0" w:tplc="321A99CE">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81799D"/>
    <w:multiLevelType w:val="hybridMultilevel"/>
    <w:tmpl w:val="9282252C"/>
    <w:lvl w:ilvl="0" w:tplc="1E1C64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F77401"/>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30D355D6"/>
    <w:multiLevelType w:val="hybridMultilevel"/>
    <w:tmpl w:val="54C0E22E"/>
    <w:lvl w:ilvl="0" w:tplc="10A03CF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13D3B23"/>
    <w:multiLevelType w:val="hybridMultilevel"/>
    <w:tmpl w:val="DB3E61EE"/>
    <w:lvl w:ilvl="0" w:tplc="6A8E39EC">
      <w:start w:val="1"/>
      <w:numFmt w:val="bullet"/>
      <w:lvlText w:val=""/>
      <w:lvlJc w:val="left"/>
      <w:pPr>
        <w:tabs>
          <w:tab w:val="num" w:pos="2047"/>
        </w:tabs>
        <w:ind w:left="2047" w:hanging="360"/>
      </w:pPr>
      <w:rPr>
        <w:rFonts w:ascii="Symbol" w:hAnsi="Symbol" w:hint="default"/>
        <w:color w:val="auto"/>
      </w:rPr>
    </w:lvl>
    <w:lvl w:ilvl="1" w:tplc="6A8E39EC">
      <w:start w:val="1"/>
      <w:numFmt w:val="bullet"/>
      <w:lvlText w:val=""/>
      <w:lvlJc w:val="left"/>
      <w:pPr>
        <w:tabs>
          <w:tab w:val="num" w:pos="1980"/>
        </w:tabs>
        <w:ind w:left="1980" w:hanging="360"/>
      </w:pPr>
      <w:rPr>
        <w:rFonts w:ascii="Symbol" w:hAnsi="Symbol" w:hint="default"/>
        <w:color w:val="auto"/>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40860FB8"/>
    <w:multiLevelType w:val="hybridMultilevel"/>
    <w:tmpl w:val="6F50C29E"/>
    <w:lvl w:ilvl="0" w:tplc="0CC2E03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8AA52E6"/>
    <w:multiLevelType w:val="hybridMultilevel"/>
    <w:tmpl w:val="32544DAA"/>
    <w:lvl w:ilvl="0" w:tplc="1E1C6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DF448E"/>
    <w:multiLevelType w:val="hybridMultilevel"/>
    <w:tmpl w:val="6204A4A6"/>
    <w:lvl w:ilvl="0" w:tplc="861421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F32D11"/>
    <w:multiLevelType w:val="hybridMultilevel"/>
    <w:tmpl w:val="342A7C3C"/>
    <w:lvl w:ilvl="0" w:tplc="321A9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974823"/>
    <w:multiLevelType w:val="hybridMultilevel"/>
    <w:tmpl w:val="5308BD32"/>
    <w:lvl w:ilvl="0" w:tplc="C714FC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57B1928"/>
    <w:multiLevelType w:val="hybridMultilevel"/>
    <w:tmpl w:val="6EE025E4"/>
    <w:lvl w:ilvl="0" w:tplc="1E1C64A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59961318"/>
    <w:multiLevelType w:val="hybridMultilevel"/>
    <w:tmpl w:val="840401F4"/>
    <w:lvl w:ilvl="0" w:tplc="88ACA446">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CC0085A"/>
    <w:multiLevelType w:val="hybridMultilevel"/>
    <w:tmpl w:val="11486032"/>
    <w:lvl w:ilvl="0" w:tplc="92FEBFB0">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06B2266"/>
    <w:multiLevelType w:val="hybridMultilevel"/>
    <w:tmpl w:val="C6F42534"/>
    <w:lvl w:ilvl="0" w:tplc="C714FC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C14ABF"/>
    <w:multiLevelType w:val="hybridMultilevel"/>
    <w:tmpl w:val="D43231B4"/>
    <w:lvl w:ilvl="0" w:tplc="1666B94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AFC01E0"/>
    <w:multiLevelType w:val="hybridMultilevel"/>
    <w:tmpl w:val="1B805CF6"/>
    <w:lvl w:ilvl="0" w:tplc="ECD408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BCA703F"/>
    <w:multiLevelType w:val="hybridMultilevel"/>
    <w:tmpl w:val="ED5466C2"/>
    <w:lvl w:ilvl="0" w:tplc="C714FCE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743158E2"/>
    <w:multiLevelType w:val="hybridMultilevel"/>
    <w:tmpl w:val="2C96F00C"/>
    <w:lvl w:ilvl="0" w:tplc="1E1C64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773E4609"/>
    <w:multiLevelType w:val="hybridMultilevel"/>
    <w:tmpl w:val="A8288C88"/>
    <w:lvl w:ilvl="0" w:tplc="6A8E39EC">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2227"/>
        </w:tabs>
        <w:ind w:left="2227" w:hanging="360"/>
      </w:pPr>
      <w:rPr>
        <w:rFonts w:ascii="Courier New" w:hAnsi="Courier New" w:cs="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cs="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cs="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25">
    <w:nsid w:val="79021C18"/>
    <w:multiLevelType w:val="hybridMultilevel"/>
    <w:tmpl w:val="16DA0862"/>
    <w:lvl w:ilvl="0" w:tplc="1E1C64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ABA0BE7"/>
    <w:multiLevelType w:val="hybridMultilevel"/>
    <w:tmpl w:val="91B44460"/>
    <w:lvl w:ilvl="0" w:tplc="1E1C6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D93065"/>
    <w:multiLevelType w:val="hybridMultilevel"/>
    <w:tmpl w:val="8E76ABB2"/>
    <w:lvl w:ilvl="0" w:tplc="788AD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8"/>
  </w:num>
  <w:num w:numId="3">
    <w:abstractNumId w:val="9"/>
  </w:num>
  <w:num w:numId="4">
    <w:abstractNumId w:val="10"/>
  </w:num>
  <w:num w:numId="5">
    <w:abstractNumId w:val="3"/>
  </w:num>
  <w:num w:numId="6">
    <w:abstractNumId w:val="15"/>
  </w:num>
  <w:num w:numId="7">
    <w:abstractNumId w:val="22"/>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
  </w:num>
  <w:num w:numId="11">
    <w:abstractNumId w:val="5"/>
  </w:num>
  <w:num w:numId="12">
    <w:abstractNumId w:val="2"/>
  </w:num>
  <w:num w:numId="13">
    <w:abstractNumId w:val="1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
  </w:num>
  <w:num w:numId="17">
    <w:abstractNumId w:val="20"/>
  </w:num>
  <w:num w:numId="18">
    <w:abstractNumId w:val="13"/>
  </w:num>
  <w:num w:numId="19">
    <w:abstractNumId w:val="6"/>
  </w:num>
  <w:num w:numId="20">
    <w:abstractNumId w:val="14"/>
  </w:num>
  <w:num w:numId="21">
    <w:abstractNumId w:val="12"/>
  </w:num>
  <w:num w:numId="22">
    <w:abstractNumId w:val="25"/>
  </w:num>
  <w:num w:numId="23">
    <w:abstractNumId w:val="26"/>
  </w:num>
  <w:num w:numId="24">
    <w:abstractNumId w:val="23"/>
  </w:num>
  <w:num w:numId="25">
    <w:abstractNumId w:val="16"/>
  </w:num>
  <w:num w:numId="26">
    <w:abstractNumId w:val="7"/>
  </w:num>
  <w:num w:numId="27">
    <w:abstractNumId w:val="0"/>
  </w:num>
  <w:num w:numId="28">
    <w:abstractNumId w:val="2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98D"/>
    <w:rsid w:val="00000551"/>
    <w:rsid w:val="00003EDF"/>
    <w:rsid w:val="0000756D"/>
    <w:rsid w:val="00010555"/>
    <w:rsid w:val="000148FD"/>
    <w:rsid w:val="00016A0E"/>
    <w:rsid w:val="00022D73"/>
    <w:rsid w:val="00030310"/>
    <w:rsid w:val="000308D2"/>
    <w:rsid w:val="00033E71"/>
    <w:rsid w:val="00036DB5"/>
    <w:rsid w:val="00040407"/>
    <w:rsid w:val="000425B2"/>
    <w:rsid w:val="000430F5"/>
    <w:rsid w:val="00043620"/>
    <w:rsid w:val="0004427B"/>
    <w:rsid w:val="00057C52"/>
    <w:rsid w:val="0006094D"/>
    <w:rsid w:val="000622BD"/>
    <w:rsid w:val="0006571B"/>
    <w:rsid w:val="00065C9C"/>
    <w:rsid w:val="0006661C"/>
    <w:rsid w:val="00067585"/>
    <w:rsid w:val="00067DFD"/>
    <w:rsid w:val="000758BC"/>
    <w:rsid w:val="00077C7D"/>
    <w:rsid w:val="00080B1C"/>
    <w:rsid w:val="00082EE0"/>
    <w:rsid w:val="00083889"/>
    <w:rsid w:val="00083C6F"/>
    <w:rsid w:val="00086EE8"/>
    <w:rsid w:val="00087E55"/>
    <w:rsid w:val="00092AD7"/>
    <w:rsid w:val="000A1EA9"/>
    <w:rsid w:val="000A29EB"/>
    <w:rsid w:val="000A31CC"/>
    <w:rsid w:val="000A662B"/>
    <w:rsid w:val="000B589D"/>
    <w:rsid w:val="000B64F6"/>
    <w:rsid w:val="000C1ACA"/>
    <w:rsid w:val="000C3622"/>
    <w:rsid w:val="000C5C42"/>
    <w:rsid w:val="000D1A21"/>
    <w:rsid w:val="000D1D5A"/>
    <w:rsid w:val="000D21E6"/>
    <w:rsid w:val="000D492C"/>
    <w:rsid w:val="000D4A4B"/>
    <w:rsid w:val="000D6EDC"/>
    <w:rsid w:val="000D72C2"/>
    <w:rsid w:val="000E18C4"/>
    <w:rsid w:val="000E23A0"/>
    <w:rsid w:val="000E79A0"/>
    <w:rsid w:val="000F4C95"/>
    <w:rsid w:val="0010014F"/>
    <w:rsid w:val="00102B0A"/>
    <w:rsid w:val="00102CC7"/>
    <w:rsid w:val="001031F2"/>
    <w:rsid w:val="001053FA"/>
    <w:rsid w:val="00105AC8"/>
    <w:rsid w:val="00106BF2"/>
    <w:rsid w:val="0011064F"/>
    <w:rsid w:val="0011125A"/>
    <w:rsid w:val="001124C8"/>
    <w:rsid w:val="00112EE9"/>
    <w:rsid w:val="0011587C"/>
    <w:rsid w:val="00123132"/>
    <w:rsid w:val="00132A40"/>
    <w:rsid w:val="00134186"/>
    <w:rsid w:val="001342B9"/>
    <w:rsid w:val="00134FEE"/>
    <w:rsid w:val="00137205"/>
    <w:rsid w:val="001426E9"/>
    <w:rsid w:val="0014404E"/>
    <w:rsid w:val="00146E92"/>
    <w:rsid w:val="0015360F"/>
    <w:rsid w:val="001565D3"/>
    <w:rsid w:val="00157E88"/>
    <w:rsid w:val="0016120E"/>
    <w:rsid w:val="00162F85"/>
    <w:rsid w:val="00165889"/>
    <w:rsid w:val="00165A5D"/>
    <w:rsid w:val="00170026"/>
    <w:rsid w:val="00171E52"/>
    <w:rsid w:val="0017226F"/>
    <w:rsid w:val="00176474"/>
    <w:rsid w:val="00177A85"/>
    <w:rsid w:val="001840EA"/>
    <w:rsid w:val="001845EF"/>
    <w:rsid w:val="00186695"/>
    <w:rsid w:val="0019035B"/>
    <w:rsid w:val="00190CB0"/>
    <w:rsid w:val="001A5F91"/>
    <w:rsid w:val="001B02D3"/>
    <w:rsid w:val="001B1715"/>
    <w:rsid w:val="001B32EF"/>
    <w:rsid w:val="001B7861"/>
    <w:rsid w:val="001B7E94"/>
    <w:rsid w:val="001C1205"/>
    <w:rsid w:val="001C2DC9"/>
    <w:rsid w:val="001C6E3D"/>
    <w:rsid w:val="001D0C7B"/>
    <w:rsid w:val="001D17E4"/>
    <w:rsid w:val="001D29AE"/>
    <w:rsid w:val="001D46A7"/>
    <w:rsid w:val="001D59EC"/>
    <w:rsid w:val="001E1308"/>
    <w:rsid w:val="001E3BA5"/>
    <w:rsid w:val="001E4AA0"/>
    <w:rsid w:val="001E4DA8"/>
    <w:rsid w:val="001E6455"/>
    <w:rsid w:val="001E699F"/>
    <w:rsid w:val="001E721D"/>
    <w:rsid w:val="001F0311"/>
    <w:rsid w:val="001F24B7"/>
    <w:rsid w:val="001F2BB4"/>
    <w:rsid w:val="001F35A9"/>
    <w:rsid w:val="001F3659"/>
    <w:rsid w:val="001F3D43"/>
    <w:rsid w:val="001F686D"/>
    <w:rsid w:val="00200A33"/>
    <w:rsid w:val="00202D86"/>
    <w:rsid w:val="00203675"/>
    <w:rsid w:val="002065D7"/>
    <w:rsid w:val="0021102A"/>
    <w:rsid w:val="00214F2D"/>
    <w:rsid w:val="002161C5"/>
    <w:rsid w:val="00220C78"/>
    <w:rsid w:val="00224117"/>
    <w:rsid w:val="002262AA"/>
    <w:rsid w:val="00226D8B"/>
    <w:rsid w:val="00227273"/>
    <w:rsid w:val="00227F78"/>
    <w:rsid w:val="00231191"/>
    <w:rsid w:val="00232C6C"/>
    <w:rsid w:val="00235184"/>
    <w:rsid w:val="0023542C"/>
    <w:rsid w:val="00240C36"/>
    <w:rsid w:val="0024105F"/>
    <w:rsid w:val="002461F4"/>
    <w:rsid w:val="00246F71"/>
    <w:rsid w:val="00250A67"/>
    <w:rsid w:val="00250B6E"/>
    <w:rsid w:val="002547BB"/>
    <w:rsid w:val="00254B5D"/>
    <w:rsid w:val="00263D01"/>
    <w:rsid w:val="002644F0"/>
    <w:rsid w:val="00266D92"/>
    <w:rsid w:val="0026717F"/>
    <w:rsid w:val="002679E8"/>
    <w:rsid w:val="002765DD"/>
    <w:rsid w:val="0027750D"/>
    <w:rsid w:val="00280554"/>
    <w:rsid w:val="00281AC0"/>
    <w:rsid w:val="00282BA6"/>
    <w:rsid w:val="00283BDD"/>
    <w:rsid w:val="0028489B"/>
    <w:rsid w:val="00286617"/>
    <w:rsid w:val="0029025E"/>
    <w:rsid w:val="002912A6"/>
    <w:rsid w:val="0029298D"/>
    <w:rsid w:val="00295E2C"/>
    <w:rsid w:val="002A094C"/>
    <w:rsid w:val="002A0F72"/>
    <w:rsid w:val="002A0FE6"/>
    <w:rsid w:val="002A1A71"/>
    <w:rsid w:val="002A2356"/>
    <w:rsid w:val="002A4E73"/>
    <w:rsid w:val="002A57E0"/>
    <w:rsid w:val="002A77DA"/>
    <w:rsid w:val="002A7D48"/>
    <w:rsid w:val="002B003D"/>
    <w:rsid w:val="002B1677"/>
    <w:rsid w:val="002B449B"/>
    <w:rsid w:val="002B4708"/>
    <w:rsid w:val="002B5782"/>
    <w:rsid w:val="002C12AF"/>
    <w:rsid w:val="002C1BD8"/>
    <w:rsid w:val="002C1D02"/>
    <w:rsid w:val="002C4B7E"/>
    <w:rsid w:val="002C5149"/>
    <w:rsid w:val="002C75E3"/>
    <w:rsid w:val="002D0043"/>
    <w:rsid w:val="002D12D5"/>
    <w:rsid w:val="002D4FDD"/>
    <w:rsid w:val="002E32F5"/>
    <w:rsid w:val="002E36F1"/>
    <w:rsid w:val="002E49B6"/>
    <w:rsid w:val="002E6982"/>
    <w:rsid w:val="002E7E74"/>
    <w:rsid w:val="002F0065"/>
    <w:rsid w:val="002F1571"/>
    <w:rsid w:val="002F163E"/>
    <w:rsid w:val="002F1B16"/>
    <w:rsid w:val="002F4052"/>
    <w:rsid w:val="002F6F64"/>
    <w:rsid w:val="003016A5"/>
    <w:rsid w:val="003016A9"/>
    <w:rsid w:val="00301CC1"/>
    <w:rsid w:val="00303299"/>
    <w:rsid w:val="00305C2A"/>
    <w:rsid w:val="003067D9"/>
    <w:rsid w:val="003100C6"/>
    <w:rsid w:val="00310A03"/>
    <w:rsid w:val="00311C86"/>
    <w:rsid w:val="003123E5"/>
    <w:rsid w:val="00315A02"/>
    <w:rsid w:val="00320832"/>
    <w:rsid w:val="00322370"/>
    <w:rsid w:val="00322E9B"/>
    <w:rsid w:val="00324A68"/>
    <w:rsid w:val="00326FEA"/>
    <w:rsid w:val="00331604"/>
    <w:rsid w:val="00333515"/>
    <w:rsid w:val="00334DA8"/>
    <w:rsid w:val="00337184"/>
    <w:rsid w:val="00341997"/>
    <w:rsid w:val="00341D90"/>
    <w:rsid w:val="00344967"/>
    <w:rsid w:val="0035533A"/>
    <w:rsid w:val="00356487"/>
    <w:rsid w:val="00357CD3"/>
    <w:rsid w:val="0036029F"/>
    <w:rsid w:val="00362E8C"/>
    <w:rsid w:val="00367D7B"/>
    <w:rsid w:val="003768F9"/>
    <w:rsid w:val="00376D6C"/>
    <w:rsid w:val="00377D15"/>
    <w:rsid w:val="00380752"/>
    <w:rsid w:val="00380B82"/>
    <w:rsid w:val="00382CBE"/>
    <w:rsid w:val="003837CE"/>
    <w:rsid w:val="00386CDF"/>
    <w:rsid w:val="00387F24"/>
    <w:rsid w:val="00391F9F"/>
    <w:rsid w:val="00393DA3"/>
    <w:rsid w:val="00394EC6"/>
    <w:rsid w:val="0039607C"/>
    <w:rsid w:val="00396346"/>
    <w:rsid w:val="00396DCA"/>
    <w:rsid w:val="003A036D"/>
    <w:rsid w:val="003A528E"/>
    <w:rsid w:val="003B04FD"/>
    <w:rsid w:val="003B169A"/>
    <w:rsid w:val="003B5055"/>
    <w:rsid w:val="003B524C"/>
    <w:rsid w:val="003B7667"/>
    <w:rsid w:val="003C0117"/>
    <w:rsid w:val="003C05B6"/>
    <w:rsid w:val="003C0CA2"/>
    <w:rsid w:val="003C2AA8"/>
    <w:rsid w:val="003C2D1A"/>
    <w:rsid w:val="003C5862"/>
    <w:rsid w:val="003C5C8D"/>
    <w:rsid w:val="003C63C2"/>
    <w:rsid w:val="003C7687"/>
    <w:rsid w:val="003D091D"/>
    <w:rsid w:val="003D3FF2"/>
    <w:rsid w:val="003D4F52"/>
    <w:rsid w:val="003E1C82"/>
    <w:rsid w:val="003E2137"/>
    <w:rsid w:val="003E36F1"/>
    <w:rsid w:val="003E3A6F"/>
    <w:rsid w:val="003E58D1"/>
    <w:rsid w:val="003F020E"/>
    <w:rsid w:val="003F48E4"/>
    <w:rsid w:val="003F6964"/>
    <w:rsid w:val="00400966"/>
    <w:rsid w:val="004071D1"/>
    <w:rsid w:val="0040726F"/>
    <w:rsid w:val="004116B5"/>
    <w:rsid w:val="00415532"/>
    <w:rsid w:val="00417AF0"/>
    <w:rsid w:val="00417D03"/>
    <w:rsid w:val="00423FD9"/>
    <w:rsid w:val="00427919"/>
    <w:rsid w:val="004303F4"/>
    <w:rsid w:val="00431670"/>
    <w:rsid w:val="004318B3"/>
    <w:rsid w:val="00432C71"/>
    <w:rsid w:val="00434C7A"/>
    <w:rsid w:val="0043663E"/>
    <w:rsid w:val="00436E64"/>
    <w:rsid w:val="00437B99"/>
    <w:rsid w:val="00440D66"/>
    <w:rsid w:val="0044222E"/>
    <w:rsid w:val="00443410"/>
    <w:rsid w:val="00444266"/>
    <w:rsid w:val="004466CF"/>
    <w:rsid w:val="00451B2C"/>
    <w:rsid w:val="00452A1C"/>
    <w:rsid w:val="00453599"/>
    <w:rsid w:val="00453E1A"/>
    <w:rsid w:val="00454C28"/>
    <w:rsid w:val="00455567"/>
    <w:rsid w:val="0046058F"/>
    <w:rsid w:val="004616AE"/>
    <w:rsid w:val="00461BCE"/>
    <w:rsid w:val="004640BF"/>
    <w:rsid w:val="00465C77"/>
    <w:rsid w:val="00467114"/>
    <w:rsid w:val="004673E9"/>
    <w:rsid w:val="00471994"/>
    <w:rsid w:val="00472887"/>
    <w:rsid w:val="00473974"/>
    <w:rsid w:val="0047418B"/>
    <w:rsid w:val="0048072E"/>
    <w:rsid w:val="004820C2"/>
    <w:rsid w:val="00495FB7"/>
    <w:rsid w:val="0049625B"/>
    <w:rsid w:val="00496E99"/>
    <w:rsid w:val="004976DC"/>
    <w:rsid w:val="004978A5"/>
    <w:rsid w:val="00497A77"/>
    <w:rsid w:val="004A1A1C"/>
    <w:rsid w:val="004A470A"/>
    <w:rsid w:val="004A4C02"/>
    <w:rsid w:val="004A4C6C"/>
    <w:rsid w:val="004A55F5"/>
    <w:rsid w:val="004A5DF5"/>
    <w:rsid w:val="004B1F87"/>
    <w:rsid w:val="004B2638"/>
    <w:rsid w:val="004B32F6"/>
    <w:rsid w:val="004B71EC"/>
    <w:rsid w:val="004B7E5D"/>
    <w:rsid w:val="004C1AC2"/>
    <w:rsid w:val="004C1CA2"/>
    <w:rsid w:val="004C221F"/>
    <w:rsid w:val="004C2385"/>
    <w:rsid w:val="004C7F50"/>
    <w:rsid w:val="004D1588"/>
    <w:rsid w:val="004D2E1F"/>
    <w:rsid w:val="004D57AB"/>
    <w:rsid w:val="004D580E"/>
    <w:rsid w:val="004E1923"/>
    <w:rsid w:val="004E2E98"/>
    <w:rsid w:val="004E7C0A"/>
    <w:rsid w:val="004F7128"/>
    <w:rsid w:val="00500145"/>
    <w:rsid w:val="00502797"/>
    <w:rsid w:val="005033DC"/>
    <w:rsid w:val="005059E7"/>
    <w:rsid w:val="00507006"/>
    <w:rsid w:val="005119E4"/>
    <w:rsid w:val="00515E70"/>
    <w:rsid w:val="005170C9"/>
    <w:rsid w:val="0052051D"/>
    <w:rsid w:val="00522630"/>
    <w:rsid w:val="00523623"/>
    <w:rsid w:val="005268DD"/>
    <w:rsid w:val="00534162"/>
    <w:rsid w:val="005357B2"/>
    <w:rsid w:val="00535863"/>
    <w:rsid w:val="005376A3"/>
    <w:rsid w:val="005378F4"/>
    <w:rsid w:val="005425AF"/>
    <w:rsid w:val="005526F4"/>
    <w:rsid w:val="00554598"/>
    <w:rsid w:val="005556D4"/>
    <w:rsid w:val="00556062"/>
    <w:rsid w:val="00565F10"/>
    <w:rsid w:val="0057606E"/>
    <w:rsid w:val="00580CB6"/>
    <w:rsid w:val="005830E3"/>
    <w:rsid w:val="0058632C"/>
    <w:rsid w:val="00586819"/>
    <w:rsid w:val="00592F3F"/>
    <w:rsid w:val="005A2801"/>
    <w:rsid w:val="005A2F49"/>
    <w:rsid w:val="005A4876"/>
    <w:rsid w:val="005B0911"/>
    <w:rsid w:val="005B10CE"/>
    <w:rsid w:val="005B1BA2"/>
    <w:rsid w:val="005B74E7"/>
    <w:rsid w:val="005C09E5"/>
    <w:rsid w:val="005C215F"/>
    <w:rsid w:val="005D020B"/>
    <w:rsid w:val="005D0E69"/>
    <w:rsid w:val="005D13E8"/>
    <w:rsid w:val="005D1F0A"/>
    <w:rsid w:val="005D5074"/>
    <w:rsid w:val="005D63A4"/>
    <w:rsid w:val="005D6574"/>
    <w:rsid w:val="005D77C2"/>
    <w:rsid w:val="005D782D"/>
    <w:rsid w:val="005D7B83"/>
    <w:rsid w:val="005E180E"/>
    <w:rsid w:val="005E421C"/>
    <w:rsid w:val="005E4DC6"/>
    <w:rsid w:val="005E5818"/>
    <w:rsid w:val="005F0601"/>
    <w:rsid w:val="005F3AC4"/>
    <w:rsid w:val="005F56C0"/>
    <w:rsid w:val="005F62EE"/>
    <w:rsid w:val="005F6E6F"/>
    <w:rsid w:val="00600CA3"/>
    <w:rsid w:val="00604514"/>
    <w:rsid w:val="00606F36"/>
    <w:rsid w:val="00613363"/>
    <w:rsid w:val="0061425F"/>
    <w:rsid w:val="00614CE5"/>
    <w:rsid w:val="006150DD"/>
    <w:rsid w:val="0062059D"/>
    <w:rsid w:val="00622AB2"/>
    <w:rsid w:val="00622AF3"/>
    <w:rsid w:val="0062533F"/>
    <w:rsid w:val="00626548"/>
    <w:rsid w:val="00632D9E"/>
    <w:rsid w:val="006379D1"/>
    <w:rsid w:val="00640054"/>
    <w:rsid w:val="006438B3"/>
    <w:rsid w:val="00643988"/>
    <w:rsid w:val="00646371"/>
    <w:rsid w:val="00646E06"/>
    <w:rsid w:val="00651AA7"/>
    <w:rsid w:val="00653AE2"/>
    <w:rsid w:val="006547AE"/>
    <w:rsid w:val="0066005C"/>
    <w:rsid w:val="00660162"/>
    <w:rsid w:val="006606E5"/>
    <w:rsid w:val="006618DD"/>
    <w:rsid w:val="00662C8D"/>
    <w:rsid w:val="00664964"/>
    <w:rsid w:val="00664C6D"/>
    <w:rsid w:val="00670937"/>
    <w:rsid w:val="006716FD"/>
    <w:rsid w:val="0067539C"/>
    <w:rsid w:val="0068019C"/>
    <w:rsid w:val="00684E37"/>
    <w:rsid w:val="00685FDB"/>
    <w:rsid w:val="0069460E"/>
    <w:rsid w:val="00695849"/>
    <w:rsid w:val="00696217"/>
    <w:rsid w:val="0069695F"/>
    <w:rsid w:val="006A13B7"/>
    <w:rsid w:val="006A484A"/>
    <w:rsid w:val="006A7649"/>
    <w:rsid w:val="006B0F2C"/>
    <w:rsid w:val="006B4AD5"/>
    <w:rsid w:val="006B4B79"/>
    <w:rsid w:val="006B74BB"/>
    <w:rsid w:val="006C0587"/>
    <w:rsid w:val="006C30EB"/>
    <w:rsid w:val="006C3171"/>
    <w:rsid w:val="006C6671"/>
    <w:rsid w:val="006D2817"/>
    <w:rsid w:val="006D347E"/>
    <w:rsid w:val="006D34CE"/>
    <w:rsid w:val="006D496B"/>
    <w:rsid w:val="006D70C1"/>
    <w:rsid w:val="006D7699"/>
    <w:rsid w:val="006E30DC"/>
    <w:rsid w:val="006E4764"/>
    <w:rsid w:val="006F0522"/>
    <w:rsid w:val="006F1D01"/>
    <w:rsid w:val="00700FBD"/>
    <w:rsid w:val="00701263"/>
    <w:rsid w:val="0070223E"/>
    <w:rsid w:val="00703180"/>
    <w:rsid w:val="0070675C"/>
    <w:rsid w:val="00710E4E"/>
    <w:rsid w:val="00711CD3"/>
    <w:rsid w:val="007134E9"/>
    <w:rsid w:val="0071515D"/>
    <w:rsid w:val="00716585"/>
    <w:rsid w:val="00720AA3"/>
    <w:rsid w:val="00722B1B"/>
    <w:rsid w:val="007264A8"/>
    <w:rsid w:val="00730C9F"/>
    <w:rsid w:val="0073128C"/>
    <w:rsid w:val="0073275E"/>
    <w:rsid w:val="007404DD"/>
    <w:rsid w:val="0074073E"/>
    <w:rsid w:val="00740F04"/>
    <w:rsid w:val="00742BC8"/>
    <w:rsid w:val="00742C94"/>
    <w:rsid w:val="00743592"/>
    <w:rsid w:val="00744552"/>
    <w:rsid w:val="00746702"/>
    <w:rsid w:val="00751121"/>
    <w:rsid w:val="0075253E"/>
    <w:rsid w:val="00753C2E"/>
    <w:rsid w:val="00754246"/>
    <w:rsid w:val="00754E49"/>
    <w:rsid w:val="007552F0"/>
    <w:rsid w:val="0076196F"/>
    <w:rsid w:val="00766200"/>
    <w:rsid w:val="0076714C"/>
    <w:rsid w:val="00770C62"/>
    <w:rsid w:val="0077161A"/>
    <w:rsid w:val="00771876"/>
    <w:rsid w:val="00772575"/>
    <w:rsid w:val="00772BAA"/>
    <w:rsid w:val="0077334E"/>
    <w:rsid w:val="0077512F"/>
    <w:rsid w:val="00777294"/>
    <w:rsid w:val="007811CE"/>
    <w:rsid w:val="00781AFB"/>
    <w:rsid w:val="007830F2"/>
    <w:rsid w:val="00784458"/>
    <w:rsid w:val="00784E35"/>
    <w:rsid w:val="00790AB1"/>
    <w:rsid w:val="007946F8"/>
    <w:rsid w:val="007A3632"/>
    <w:rsid w:val="007A573E"/>
    <w:rsid w:val="007A637B"/>
    <w:rsid w:val="007A7A71"/>
    <w:rsid w:val="007B0526"/>
    <w:rsid w:val="007B34E8"/>
    <w:rsid w:val="007C67E0"/>
    <w:rsid w:val="007D3469"/>
    <w:rsid w:val="007D373D"/>
    <w:rsid w:val="007D7F97"/>
    <w:rsid w:val="007E0FE8"/>
    <w:rsid w:val="007E4EFC"/>
    <w:rsid w:val="007E5E2D"/>
    <w:rsid w:val="007E7D2E"/>
    <w:rsid w:val="007F7924"/>
    <w:rsid w:val="007F7A47"/>
    <w:rsid w:val="00800FCC"/>
    <w:rsid w:val="0080111E"/>
    <w:rsid w:val="00802A35"/>
    <w:rsid w:val="00803128"/>
    <w:rsid w:val="00810855"/>
    <w:rsid w:val="00815144"/>
    <w:rsid w:val="0082009E"/>
    <w:rsid w:val="00821E4F"/>
    <w:rsid w:val="008222B7"/>
    <w:rsid w:val="00823046"/>
    <w:rsid w:val="00826029"/>
    <w:rsid w:val="008266D0"/>
    <w:rsid w:val="00827525"/>
    <w:rsid w:val="00827DC6"/>
    <w:rsid w:val="008414DC"/>
    <w:rsid w:val="00841645"/>
    <w:rsid w:val="00841CB3"/>
    <w:rsid w:val="008430E0"/>
    <w:rsid w:val="0084630E"/>
    <w:rsid w:val="0084721D"/>
    <w:rsid w:val="00851B8C"/>
    <w:rsid w:val="00852483"/>
    <w:rsid w:val="008549D6"/>
    <w:rsid w:val="00857405"/>
    <w:rsid w:val="00857B4F"/>
    <w:rsid w:val="0086339B"/>
    <w:rsid w:val="0086579D"/>
    <w:rsid w:val="00866E3B"/>
    <w:rsid w:val="00872DC6"/>
    <w:rsid w:val="008764CD"/>
    <w:rsid w:val="00880C5C"/>
    <w:rsid w:val="008817EE"/>
    <w:rsid w:val="0088418A"/>
    <w:rsid w:val="00884F6A"/>
    <w:rsid w:val="00886232"/>
    <w:rsid w:val="0088645C"/>
    <w:rsid w:val="0089061D"/>
    <w:rsid w:val="00890C53"/>
    <w:rsid w:val="008A2742"/>
    <w:rsid w:val="008A69E3"/>
    <w:rsid w:val="008A7175"/>
    <w:rsid w:val="008B11AB"/>
    <w:rsid w:val="008B725F"/>
    <w:rsid w:val="008C4FF0"/>
    <w:rsid w:val="008C51DC"/>
    <w:rsid w:val="008C570D"/>
    <w:rsid w:val="008D1586"/>
    <w:rsid w:val="008D1FBC"/>
    <w:rsid w:val="008D507B"/>
    <w:rsid w:val="008D6E86"/>
    <w:rsid w:val="008E1E47"/>
    <w:rsid w:val="008E1F86"/>
    <w:rsid w:val="008E49F7"/>
    <w:rsid w:val="008E58E5"/>
    <w:rsid w:val="008F0403"/>
    <w:rsid w:val="008F0872"/>
    <w:rsid w:val="008F2536"/>
    <w:rsid w:val="008F3DC8"/>
    <w:rsid w:val="008F3FDF"/>
    <w:rsid w:val="008F41EC"/>
    <w:rsid w:val="008F44F9"/>
    <w:rsid w:val="008F565A"/>
    <w:rsid w:val="008F6DB1"/>
    <w:rsid w:val="00900A62"/>
    <w:rsid w:val="0090292B"/>
    <w:rsid w:val="00903906"/>
    <w:rsid w:val="00903A7F"/>
    <w:rsid w:val="009048DF"/>
    <w:rsid w:val="00905F73"/>
    <w:rsid w:val="00906761"/>
    <w:rsid w:val="00910374"/>
    <w:rsid w:val="00912A04"/>
    <w:rsid w:val="00912C54"/>
    <w:rsid w:val="00916033"/>
    <w:rsid w:val="00921B58"/>
    <w:rsid w:val="00925388"/>
    <w:rsid w:val="00925596"/>
    <w:rsid w:val="0092709D"/>
    <w:rsid w:val="00931BE3"/>
    <w:rsid w:val="00932601"/>
    <w:rsid w:val="0093733B"/>
    <w:rsid w:val="00941793"/>
    <w:rsid w:val="00941EFF"/>
    <w:rsid w:val="009440D7"/>
    <w:rsid w:val="009442DF"/>
    <w:rsid w:val="00944DF2"/>
    <w:rsid w:val="0095042F"/>
    <w:rsid w:val="00950624"/>
    <w:rsid w:val="009506E8"/>
    <w:rsid w:val="00950C54"/>
    <w:rsid w:val="00950DD4"/>
    <w:rsid w:val="0095285D"/>
    <w:rsid w:val="0095390A"/>
    <w:rsid w:val="00954023"/>
    <w:rsid w:val="00954779"/>
    <w:rsid w:val="00954B4F"/>
    <w:rsid w:val="009601BD"/>
    <w:rsid w:val="009601F2"/>
    <w:rsid w:val="00964B19"/>
    <w:rsid w:val="009708E0"/>
    <w:rsid w:val="00971A0B"/>
    <w:rsid w:val="00972197"/>
    <w:rsid w:val="009740A5"/>
    <w:rsid w:val="009744A9"/>
    <w:rsid w:val="0098104F"/>
    <w:rsid w:val="009818D3"/>
    <w:rsid w:val="009861B2"/>
    <w:rsid w:val="00991B05"/>
    <w:rsid w:val="00991CEC"/>
    <w:rsid w:val="00991D79"/>
    <w:rsid w:val="00996B04"/>
    <w:rsid w:val="0099746C"/>
    <w:rsid w:val="009A02A8"/>
    <w:rsid w:val="009A2D29"/>
    <w:rsid w:val="009A32A6"/>
    <w:rsid w:val="009A5DDF"/>
    <w:rsid w:val="009A6241"/>
    <w:rsid w:val="009A6A05"/>
    <w:rsid w:val="009A6F17"/>
    <w:rsid w:val="009B11DB"/>
    <w:rsid w:val="009B18F6"/>
    <w:rsid w:val="009B4415"/>
    <w:rsid w:val="009B58BA"/>
    <w:rsid w:val="009B662C"/>
    <w:rsid w:val="009B7B80"/>
    <w:rsid w:val="009C1FA6"/>
    <w:rsid w:val="009C78D9"/>
    <w:rsid w:val="009D1688"/>
    <w:rsid w:val="009D28EB"/>
    <w:rsid w:val="009D7388"/>
    <w:rsid w:val="009E0213"/>
    <w:rsid w:val="009E2A35"/>
    <w:rsid w:val="009F1F7E"/>
    <w:rsid w:val="009F5D13"/>
    <w:rsid w:val="009F6B0A"/>
    <w:rsid w:val="009F72DE"/>
    <w:rsid w:val="00A017A5"/>
    <w:rsid w:val="00A03CFF"/>
    <w:rsid w:val="00A13CFD"/>
    <w:rsid w:val="00A1531B"/>
    <w:rsid w:val="00A1583A"/>
    <w:rsid w:val="00A20C63"/>
    <w:rsid w:val="00A264C6"/>
    <w:rsid w:val="00A31F23"/>
    <w:rsid w:val="00A3341A"/>
    <w:rsid w:val="00A343A1"/>
    <w:rsid w:val="00A35292"/>
    <w:rsid w:val="00A401D9"/>
    <w:rsid w:val="00A4093A"/>
    <w:rsid w:val="00A40994"/>
    <w:rsid w:val="00A456FD"/>
    <w:rsid w:val="00A51168"/>
    <w:rsid w:val="00A51A9B"/>
    <w:rsid w:val="00A52BEB"/>
    <w:rsid w:val="00A531D0"/>
    <w:rsid w:val="00A56EBE"/>
    <w:rsid w:val="00A5790A"/>
    <w:rsid w:val="00A60798"/>
    <w:rsid w:val="00A6372C"/>
    <w:rsid w:val="00A64815"/>
    <w:rsid w:val="00A65969"/>
    <w:rsid w:val="00A66342"/>
    <w:rsid w:val="00A6725D"/>
    <w:rsid w:val="00A7243E"/>
    <w:rsid w:val="00A7265E"/>
    <w:rsid w:val="00A745AD"/>
    <w:rsid w:val="00A777DD"/>
    <w:rsid w:val="00A779FF"/>
    <w:rsid w:val="00A77A42"/>
    <w:rsid w:val="00A8039B"/>
    <w:rsid w:val="00A81F8A"/>
    <w:rsid w:val="00A82851"/>
    <w:rsid w:val="00A8359A"/>
    <w:rsid w:val="00A836D9"/>
    <w:rsid w:val="00A85C3B"/>
    <w:rsid w:val="00A923D7"/>
    <w:rsid w:val="00A945F1"/>
    <w:rsid w:val="00A9703C"/>
    <w:rsid w:val="00AA0A51"/>
    <w:rsid w:val="00AA0CC4"/>
    <w:rsid w:val="00AA105D"/>
    <w:rsid w:val="00AA50C0"/>
    <w:rsid w:val="00AA53F5"/>
    <w:rsid w:val="00AA5439"/>
    <w:rsid w:val="00AA6CD1"/>
    <w:rsid w:val="00AA781C"/>
    <w:rsid w:val="00AB025F"/>
    <w:rsid w:val="00AB2388"/>
    <w:rsid w:val="00AB2712"/>
    <w:rsid w:val="00AB366C"/>
    <w:rsid w:val="00AB3E39"/>
    <w:rsid w:val="00AB4128"/>
    <w:rsid w:val="00AB4E22"/>
    <w:rsid w:val="00AB4F24"/>
    <w:rsid w:val="00AB5B84"/>
    <w:rsid w:val="00AB5FDA"/>
    <w:rsid w:val="00AB6156"/>
    <w:rsid w:val="00AB6DF7"/>
    <w:rsid w:val="00AB7DD5"/>
    <w:rsid w:val="00AC0ABC"/>
    <w:rsid w:val="00AC11EE"/>
    <w:rsid w:val="00AC2C56"/>
    <w:rsid w:val="00AC736B"/>
    <w:rsid w:val="00AD1410"/>
    <w:rsid w:val="00AD509F"/>
    <w:rsid w:val="00AF3A8A"/>
    <w:rsid w:val="00AF6C9A"/>
    <w:rsid w:val="00AF6DE2"/>
    <w:rsid w:val="00AF7E55"/>
    <w:rsid w:val="00B04D78"/>
    <w:rsid w:val="00B062FE"/>
    <w:rsid w:val="00B10907"/>
    <w:rsid w:val="00B126EA"/>
    <w:rsid w:val="00B136A1"/>
    <w:rsid w:val="00B13A4D"/>
    <w:rsid w:val="00B143C5"/>
    <w:rsid w:val="00B15A56"/>
    <w:rsid w:val="00B22F3A"/>
    <w:rsid w:val="00B25496"/>
    <w:rsid w:val="00B265B8"/>
    <w:rsid w:val="00B27313"/>
    <w:rsid w:val="00B30237"/>
    <w:rsid w:val="00B316A3"/>
    <w:rsid w:val="00B31D52"/>
    <w:rsid w:val="00B405A8"/>
    <w:rsid w:val="00B407E2"/>
    <w:rsid w:val="00B41716"/>
    <w:rsid w:val="00B43B44"/>
    <w:rsid w:val="00B4445E"/>
    <w:rsid w:val="00B477CF"/>
    <w:rsid w:val="00B50093"/>
    <w:rsid w:val="00B5032D"/>
    <w:rsid w:val="00B50E61"/>
    <w:rsid w:val="00B5217E"/>
    <w:rsid w:val="00B607FD"/>
    <w:rsid w:val="00B6094E"/>
    <w:rsid w:val="00B6264F"/>
    <w:rsid w:val="00B70AAA"/>
    <w:rsid w:val="00B7139F"/>
    <w:rsid w:val="00B71D1F"/>
    <w:rsid w:val="00B726BB"/>
    <w:rsid w:val="00B77A2C"/>
    <w:rsid w:val="00B8588F"/>
    <w:rsid w:val="00B85ABD"/>
    <w:rsid w:val="00B87327"/>
    <w:rsid w:val="00B87D2D"/>
    <w:rsid w:val="00B87F91"/>
    <w:rsid w:val="00B90CB6"/>
    <w:rsid w:val="00B90D6F"/>
    <w:rsid w:val="00B912D2"/>
    <w:rsid w:val="00B93B7E"/>
    <w:rsid w:val="00B95D01"/>
    <w:rsid w:val="00B960C1"/>
    <w:rsid w:val="00B961FA"/>
    <w:rsid w:val="00B969FD"/>
    <w:rsid w:val="00B9708C"/>
    <w:rsid w:val="00BA021C"/>
    <w:rsid w:val="00BA03BB"/>
    <w:rsid w:val="00BA09A7"/>
    <w:rsid w:val="00BA42A6"/>
    <w:rsid w:val="00BA7E6A"/>
    <w:rsid w:val="00BC5154"/>
    <w:rsid w:val="00BC622A"/>
    <w:rsid w:val="00BD34B6"/>
    <w:rsid w:val="00BD5F88"/>
    <w:rsid w:val="00BD7508"/>
    <w:rsid w:val="00BE1082"/>
    <w:rsid w:val="00BE7DDC"/>
    <w:rsid w:val="00BF016C"/>
    <w:rsid w:val="00BF05CF"/>
    <w:rsid w:val="00BF082A"/>
    <w:rsid w:val="00BF0AAE"/>
    <w:rsid w:val="00BF24B5"/>
    <w:rsid w:val="00BF53D5"/>
    <w:rsid w:val="00BF594B"/>
    <w:rsid w:val="00BF71FF"/>
    <w:rsid w:val="00C00579"/>
    <w:rsid w:val="00C016FD"/>
    <w:rsid w:val="00C01E67"/>
    <w:rsid w:val="00C0444C"/>
    <w:rsid w:val="00C07744"/>
    <w:rsid w:val="00C12157"/>
    <w:rsid w:val="00C13F6A"/>
    <w:rsid w:val="00C14307"/>
    <w:rsid w:val="00C14D77"/>
    <w:rsid w:val="00C20F73"/>
    <w:rsid w:val="00C21271"/>
    <w:rsid w:val="00C226BE"/>
    <w:rsid w:val="00C26EAF"/>
    <w:rsid w:val="00C273B5"/>
    <w:rsid w:val="00C30225"/>
    <w:rsid w:val="00C313F5"/>
    <w:rsid w:val="00C345B9"/>
    <w:rsid w:val="00C3589F"/>
    <w:rsid w:val="00C35D81"/>
    <w:rsid w:val="00C37825"/>
    <w:rsid w:val="00C37F20"/>
    <w:rsid w:val="00C41FCE"/>
    <w:rsid w:val="00C42964"/>
    <w:rsid w:val="00C42E84"/>
    <w:rsid w:val="00C435B3"/>
    <w:rsid w:val="00C448E3"/>
    <w:rsid w:val="00C473A5"/>
    <w:rsid w:val="00C47BE9"/>
    <w:rsid w:val="00C527C1"/>
    <w:rsid w:val="00C5357F"/>
    <w:rsid w:val="00C53F97"/>
    <w:rsid w:val="00C558E0"/>
    <w:rsid w:val="00C57701"/>
    <w:rsid w:val="00C643BD"/>
    <w:rsid w:val="00C67824"/>
    <w:rsid w:val="00C711ED"/>
    <w:rsid w:val="00C75457"/>
    <w:rsid w:val="00C76F57"/>
    <w:rsid w:val="00C825C8"/>
    <w:rsid w:val="00C874D3"/>
    <w:rsid w:val="00C92ABF"/>
    <w:rsid w:val="00C96A52"/>
    <w:rsid w:val="00CA01EA"/>
    <w:rsid w:val="00CA389B"/>
    <w:rsid w:val="00CA6E78"/>
    <w:rsid w:val="00CB20BE"/>
    <w:rsid w:val="00CC3FA7"/>
    <w:rsid w:val="00CD0A46"/>
    <w:rsid w:val="00CD3BBA"/>
    <w:rsid w:val="00CD3D5A"/>
    <w:rsid w:val="00CE2F56"/>
    <w:rsid w:val="00CE3E5F"/>
    <w:rsid w:val="00CF014B"/>
    <w:rsid w:val="00CF109B"/>
    <w:rsid w:val="00CF282B"/>
    <w:rsid w:val="00CF4E08"/>
    <w:rsid w:val="00CF642A"/>
    <w:rsid w:val="00D0099A"/>
    <w:rsid w:val="00D0544F"/>
    <w:rsid w:val="00D05455"/>
    <w:rsid w:val="00D07CE1"/>
    <w:rsid w:val="00D13F9F"/>
    <w:rsid w:val="00D14101"/>
    <w:rsid w:val="00D15D1D"/>
    <w:rsid w:val="00D15E69"/>
    <w:rsid w:val="00D16089"/>
    <w:rsid w:val="00D168D3"/>
    <w:rsid w:val="00D20EF6"/>
    <w:rsid w:val="00D2239F"/>
    <w:rsid w:val="00D22CA8"/>
    <w:rsid w:val="00D248BD"/>
    <w:rsid w:val="00D24FF2"/>
    <w:rsid w:val="00D35147"/>
    <w:rsid w:val="00D37E1D"/>
    <w:rsid w:val="00D443C2"/>
    <w:rsid w:val="00D461A1"/>
    <w:rsid w:val="00D473B6"/>
    <w:rsid w:val="00D51D1B"/>
    <w:rsid w:val="00D52215"/>
    <w:rsid w:val="00D53388"/>
    <w:rsid w:val="00D55284"/>
    <w:rsid w:val="00D56D3C"/>
    <w:rsid w:val="00D57664"/>
    <w:rsid w:val="00D60BDD"/>
    <w:rsid w:val="00D60C32"/>
    <w:rsid w:val="00D65558"/>
    <w:rsid w:val="00D66B8D"/>
    <w:rsid w:val="00D7075B"/>
    <w:rsid w:val="00D71CF6"/>
    <w:rsid w:val="00D74469"/>
    <w:rsid w:val="00D75772"/>
    <w:rsid w:val="00D80B13"/>
    <w:rsid w:val="00D8571C"/>
    <w:rsid w:val="00D86261"/>
    <w:rsid w:val="00D86279"/>
    <w:rsid w:val="00D868AC"/>
    <w:rsid w:val="00D87541"/>
    <w:rsid w:val="00D90CAB"/>
    <w:rsid w:val="00D92907"/>
    <w:rsid w:val="00D93506"/>
    <w:rsid w:val="00D93D53"/>
    <w:rsid w:val="00D97F17"/>
    <w:rsid w:val="00DA2F2B"/>
    <w:rsid w:val="00DA7481"/>
    <w:rsid w:val="00DA79B9"/>
    <w:rsid w:val="00DB5CC2"/>
    <w:rsid w:val="00DC0A37"/>
    <w:rsid w:val="00DC4465"/>
    <w:rsid w:val="00DC4532"/>
    <w:rsid w:val="00DC775D"/>
    <w:rsid w:val="00DD3320"/>
    <w:rsid w:val="00DD457A"/>
    <w:rsid w:val="00DD7B1E"/>
    <w:rsid w:val="00DD7F2A"/>
    <w:rsid w:val="00DE0D69"/>
    <w:rsid w:val="00DE2824"/>
    <w:rsid w:val="00DE2E99"/>
    <w:rsid w:val="00DE39F7"/>
    <w:rsid w:val="00DF0E2E"/>
    <w:rsid w:val="00DF2228"/>
    <w:rsid w:val="00DF33A7"/>
    <w:rsid w:val="00DF3D7C"/>
    <w:rsid w:val="00DF588A"/>
    <w:rsid w:val="00DF72D6"/>
    <w:rsid w:val="00DF7521"/>
    <w:rsid w:val="00DF7ACC"/>
    <w:rsid w:val="00E0340C"/>
    <w:rsid w:val="00E038A6"/>
    <w:rsid w:val="00E13A76"/>
    <w:rsid w:val="00E15C45"/>
    <w:rsid w:val="00E16E1C"/>
    <w:rsid w:val="00E16FEF"/>
    <w:rsid w:val="00E17F4C"/>
    <w:rsid w:val="00E21969"/>
    <w:rsid w:val="00E21D89"/>
    <w:rsid w:val="00E23363"/>
    <w:rsid w:val="00E3127F"/>
    <w:rsid w:val="00E317BC"/>
    <w:rsid w:val="00E33BE7"/>
    <w:rsid w:val="00E42755"/>
    <w:rsid w:val="00E428B9"/>
    <w:rsid w:val="00E45214"/>
    <w:rsid w:val="00E45662"/>
    <w:rsid w:val="00E465C2"/>
    <w:rsid w:val="00E50365"/>
    <w:rsid w:val="00E54353"/>
    <w:rsid w:val="00E54E6D"/>
    <w:rsid w:val="00E627CB"/>
    <w:rsid w:val="00E63671"/>
    <w:rsid w:val="00E7172F"/>
    <w:rsid w:val="00E74E4D"/>
    <w:rsid w:val="00E75305"/>
    <w:rsid w:val="00E77845"/>
    <w:rsid w:val="00E844B7"/>
    <w:rsid w:val="00E9022C"/>
    <w:rsid w:val="00E92114"/>
    <w:rsid w:val="00E957A8"/>
    <w:rsid w:val="00E9683B"/>
    <w:rsid w:val="00E9732B"/>
    <w:rsid w:val="00EA187E"/>
    <w:rsid w:val="00EA41CC"/>
    <w:rsid w:val="00EA5301"/>
    <w:rsid w:val="00EB021B"/>
    <w:rsid w:val="00EB0DEE"/>
    <w:rsid w:val="00EB3C28"/>
    <w:rsid w:val="00EC1D09"/>
    <w:rsid w:val="00EC5907"/>
    <w:rsid w:val="00EC7530"/>
    <w:rsid w:val="00ED0290"/>
    <w:rsid w:val="00ED0DC5"/>
    <w:rsid w:val="00ED1082"/>
    <w:rsid w:val="00ED2824"/>
    <w:rsid w:val="00ED4644"/>
    <w:rsid w:val="00ED6EA6"/>
    <w:rsid w:val="00EE2EB2"/>
    <w:rsid w:val="00EE3085"/>
    <w:rsid w:val="00EE44D1"/>
    <w:rsid w:val="00EE4FD9"/>
    <w:rsid w:val="00EE7627"/>
    <w:rsid w:val="00EF025A"/>
    <w:rsid w:val="00EF078C"/>
    <w:rsid w:val="00EF2175"/>
    <w:rsid w:val="00EF5DCF"/>
    <w:rsid w:val="00EF7472"/>
    <w:rsid w:val="00EF7A58"/>
    <w:rsid w:val="00F004A0"/>
    <w:rsid w:val="00F0204B"/>
    <w:rsid w:val="00F027A2"/>
    <w:rsid w:val="00F03559"/>
    <w:rsid w:val="00F046A2"/>
    <w:rsid w:val="00F0561E"/>
    <w:rsid w:val="00F0580A"/>
    <w:rsid w:val="00F07432"/>
    <w:rsid w:val="00F079AA"/>
    <w:rsid w:val="00F1088B"/>
    <w:rsid w:val="00F10983"/>
    <w:rsid w:val="00F160FA"/>
    <w:rsid w:val="00F16633"/>
    <w:rsid w:val="00F21871"/>
    <w:rsid w:val="00F23BDD"/>
    <w:rsid w:val="00F4042E"/>
    <w:rsid w:val="00F45C7E"/>
    <w:rsid w:val="00F46466"/>
    <w:rsid w:val="00F51C1D"/>
    <w:rsid w:val="00F53FFD"/>
    <w:rsid w:val="00F56EE0"/>
    <w:rsid w:val="00F5703E"/>
    <w:rsid w:val="00F60731"/>
    <w:rsid w:val="00F63839"/>
    <w:rsid w:val="00F65ABC"/>
    <w:rsid w:val="00F66AF0"/>
    <w:rsid w:val="00F74B08"/>
    <w:rsid w:val="00F7511A"/>
    <w:rsid w:val="00F7676D"/>
    <w:rsid w:val="00F76973"/>
    <w:rsid w:val="00F802CF"/>
    <w:rsid w:val="00F82E2F"/>
    <w:rsid w:val="00F847B8"/>
    <w:rsid w:val="00F91F2B"/>
    <w:rsid w:val="00F92FF8"/>
    <w:rsid w:val="00F9520A"/>
    <w:rsid w:val="00F97075"/>
    <w:rsid w:val="00FA027B"/>
    <w:rsid w:val="00FA530D"/>
    <w:rsid w:val="00FA5AA2"/>
    <w:rsid w:val="00FA7655"/>
    <w:rsid w:val="00FB0500"/>
    <w:rsid w:val="00FB1252"/>
    <w:rsid w:val="00FB1A75"/>
    <w:rsid w:val="00FB479E"/>
    <w:rsid w:val="00FB68FB"/>
    <w:rsid w:val="00FB75CA"/>
    <w:rsid w:val="00FC380B"/>
    <w:rsid w:val="00FC6622"/>
    <w:rsid w:val="00FC71CA"/>
    <w:rsid w:val="00FC7208"/>
    <w:rsid w:val="00FD0491"/>
    <w:rsid w:val="00FD0DDC"/>
    <w:rsid w:val="00FD3F3B"/>
    <w:rsid w:val="00FD6001"/>
    <w:rsid w:val="00FD6759"/>
    <w:rsid w:val="00FD722E"/>
    <w:rsid w:val="00FE129A"/>
    <w:rsid w:val="00FE395D"/>
    <w:rsid w:val="00FE6D01"/>
    <w:rsid w:val="00FE6E98"/>
    <w:rsid w:val="00FE7E3F"/>
    <w:rsid w:val="00FF06CB"/>
    <w:rsid w:val="00FF1544"/>
    <w:rsid w:val="00FF3991"/>
    <w:rsid w:val="00FF41A9"/>
    <w:rsid w:val="00FF75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8D"/>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29298D"/>
    <w:pPr>
      <w:keepNext/>
      <w:numPr>
        <w:numId w:val="2"/>
      </w:numPr>
      <w:jc w:val="both"/>
      <w:outlineLvl w:val="0"/>
    </w:pPr>
    <w:rPr>
      <w:i/>
    </w:rPr>
  </w:style>
  <w:style w:type="paragraph" w:styleId="2">
    <w:name w:val="heading 2"/>
    <w:basedOn w:val="a"/>
    <w:next w:val="a"/>
    <w:link w:val="20"/>
    <w:qFormat/>
    <w:rsid w:val="0029298D"/>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qFormat/>
    <w:rsid w:val="0029298D"/>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29298D"/>
    <w:pPr>
      <w:keepNext/>
      <w:numPr>
        <w:ilvl w:val="3"/>
        <w:numId w:val="2"/>
      </w:numPr>
      <w:spacing w:before="240" w:after="60"/>
      <w:outlineLvl w:val="3"/>
    </w:pPr>
    <w:rPr>
      <w:b/>
      <w:bCs/>
      <w:sz w:val="28"/>
      <w:szCs w:val="28"/>
    </w:rPr>
  </w:style>
  <w:style w:type="paragraph" w:styleId="5">
    <w:name w:val="heading 5"/>
    <w:basedOn w:val="a"/>
    <w:next w:val="a"/>
    <w:link w:val="50"/>
    <w:qFormat/>
    <w:rsid w:val="0029298D"/>
    <w:pPr>
      <w:numPr>
        <w:ilvl w:val="4"/>
        <w:numId w:val="2"/>
      </w:numPr>
      <w:spacing w:before="240" w:after="60"/>
      <w:outlineLvl w:val="4"/>
    </w:pPr>
    <w:rPr>
      <w:b/>
      <w:bCs/>
      <w:i/>
      <w:iCs/>
      <w:sz w:val="26"/>
      <w:szCs w:val="26"/>
    </w:rPr>
  </w:style>
  <w:style w:type="paragraph" w:styleId="6">
    <w:name w:val="heading 6"/>
    <w:basedOn w:val="a"/>
    <w:next w:val="a"/>
    <w:link w:val="60"/>
    <w:qFormat/>
    <w:rsid w:val="0029298D"/>
    <w:pPr>
      <w:numPr>
        <w:ilvl w:val="5"/>
        <w:numId w:val="2"/>
      </w:numPr>
      <w:spacing w:before="240" w:after="60"/>
      <w:outlineLvl w:val="5"/>
    </w:pPr>
    <w:rPr>
      <w:b/>
      <w:bCs/>
      <w:sz w:val="22"/>
      <w:szCs w:val="22"/>
    </w:rPr>
  </w:style>
  <w:style w:type="paragraph" w:styleId="7">
    <w:name w:val="heading 7"/>
    <w:basedOn w:val="a"/>
    <w:next w:val="a"/>
    <w:link w:val="70"/>
    <w:qFormat/>
    <w:rsid w:val="0029298D"/>
    <w:pPr>
      <w:numPr>
        <w:ilvl w:val="6"/>
        <w:numId w:val="2"/>
      </w:numPr>
      <w:spacing w:before="240" w:after="60"/>
      <w:outlineLvl w:val="6"/>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9298D"/>
    <w:pPr>
      <w:spacing w:after="120"/>
    </w:pPr>
  </w:style>
  <w:style w:type="character" w:customStyle="1" w:styleId="a4">
    <w:name w:val="Основной текст Знак"/>
    <w:basedOn w:val="a0"/>
    <w:link w:val="a3"/>
    <w:rsid w:val="0029298D"/>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29298D"/>
    <w:rPr>
      <w:rFonts w:ascii="Tahoma" w:hAnsi="Tahoma" w:cs="Tahoma"/>
      <w:sz w:val="16"/>
      <w:szCs w:val="16"/>
    </w:rPr>
  </w:style>
  <w:style w:type="character" w:customStyle="1" w:styleId="a6">
    <w:name w:val="Текст выноски Знак"/>
    <w:basedOn w:val="a0"/>
    <w:link w:val="a5"/>
    <w:uiPriority w:val="99"/>
    <w:semiHidden/>
    <w:rsid w:val="0029298D"/>
    <w:rPr>
      <w:rFonts w:ascii="Tahoma" w:eastAsia="Times New Roman" w:hAnsi="Tahoma" w:cs="Tahoma"/>
      <w:sz w:val="16"/>
      <w:szCs w:val="16"/>
      <w:lang w:eastAsia="ru-RU"/>
    </w:rPr>
  </w:style>
  <w:style w:type="character" w:customStyle="1" w:styleId="10">
    <w:name w:val="Заголовок 1 Знак"/>
    <w:basedOn w:val="a0"/>
    <w:link w:val="1"/>
    <w:rsid w:val="0029298D"/>
    <w:rPr>
      <w:rFonts w:ascii="Times New Roman" w:eastAsia="Times New Roman" w:hAnsi="Times New Roman" w:cs="Times New Roman"/>
      <w:i/>
      <w:sz w:val="24"/>
      <w:szCs w:val="20"/>
      <w:lang w:eastAsia="ru-RU"/>
    </w:rPr>
  </w:style>
  <w:style w:type="character" w:customStyle="1" w:styleId="20">
    <w:name w:val="Заголовок 2 Знак"/>
    <w:basedOn w:val="a0"/>
    <w:link w:val="2"/>
    <w:rsid w:val="0029298D"/>
    <w:rPr>
      <w:rFonts w:ascii="Arial" w:eastAsia="Times New Roman" w:hAnsi="Arial" w:cs="Arial"/>
      <w:b/>
      <w:bCs/>
      <w:i/>
      <w:iCs/>
      <w:sz w:val="28"/>
      <w:szCs w:val="28"/>
      <w:lang w:eastAsia="ru-RU"/>
    </w:rPr>
  </w:style>
  <w:style w:type="character" w:customStyle="1" w:styleId="30">
    <w:name w:val="Заголовок 3 Знак"/>
    <w:basedOn w:val="a0"/>
    <w:link w:val="3"/>
    <w:rsid w:val="0029298D"/>
    <w:rPr>
      <w:rFonts w:ascii="Arial" w:eastAsia="Times New Roman" w:hAnsi="Arial" w:cs="Arial"/>
      <w:b/>
      <w:bCs/>
      <w:sz w:val="26"/>
      <w:szCs w:val="26"/>
      <w:lang w:eastAsia="ru-RU"/>
    </w:rPr>
  </w:style>
  <w:style w:type="character" w:customStyle="1" w:styleId="40">
    <w:name w:val="Заголовок 4 Знак"/>
    <w:basedOn w:val="a0"/>
    <w:link w:val="4"/>
    <w:rsid w:val="0029298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9298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9298D"/>
    <w:rPr>
      <w:rFonts w:ascii="Times New Roman" w:eastAsia="Times New Roman" w:hAnsi="Times New Roman" w:cs="Times New Roman"/>
      <w:b/>
      <w:bCs/>
      <w:lang w:eastAsia="ru-RU"/>
    </w:rPr>
  </w:style>
  <w:style w:type="character" w:customStyle="1" w:styleId="70">
    <w:name w:val="Заголовок 7 Знак"/>
    <w:basedOn w:val="a0"/>
    <w:link w:val="7"/>
    <w:rsid w:val="0029298D"/>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29298D"/>
    <w:pPr>
      <w:ind w:left="720"/>
      <w:contextualSpacing/>
    </w:pPr>
    <w:rPr>
      <w:sz w:val="20"/>
    </w:rPr>
  </w:style>
  <w:style w:type="paragraph" w:styleId="31">
    <w:name w:val="Body Text 3"/>
    <w:basedOn w:val="a"/>
    <w:link w:val="32"/>
    <w:rsid w:val="0029298D"/>
    <w:pPr>
      <w:spacing w:after="120"/>
    </w:pPr>
    <w:rPr>
      <w:sz w:val="16"/>
      <w:szCs w:val="16"/>
    </w:rPr>
  </w:style>
  <w:style w:type="character" w:customStyle="1" w:styleId="32">
    <w:name w:val="Основной текст 3 Знак"/>
    <w:basedOn w:val="a0"/>
    <w:link w:val="31"/>
    <w:rsid w:val="0029298D"/>
    <w:rPr>
      <w:rFonts w:ascii="Times New Roman" w:eastAsia="Times New Roman" w:hAnsi="Times New Roman" w:cs="Times New Roman"/>
      <w:sz w:val="16"/>
      <w:szCs w:val="16"/>
      <w:lang w:eastAsia="ru-RU"/>
    </w:rPr>
  </w:style>
  <w:style w:type="paragraph" w:styleId="a9">
    <w:name w:val="Body Text Indent"/>
    <w:basedOn w:val="a"/>
    <w:link w:val="aa"/>
    <w:uiPriority w:val="99"/>
    <w:semiHidden/>
    <w:unhideWhenUsed/>
    <w:rsid w:val="0029298D"/>
    <w:pPr>
      <w:spacing w:after="120"/>
      <w:ind w:left="283"/>
    </w:pPr>
  </w:style>
  <w:style w:type="character" w:customStyle="1" w:styleId="aa">
    <w:name w:val="Основной текст с отступом Знак"/>
    <w:basedOn w:val="a0"/>
    <w:link w:val="a9"/>
    <w:uiPriority w:val="99"/>
    <w:semiHidden/>
    <w:rsid w:val="0029298D"/>
    <w:rPr>
      <w:rFonts w:ascii="Times New Roman" w:eastAsia="Times New Roman" w:hAnsi="Times New Roman" w:cs="Times New Roman"/>
      <w:sz w:val="24"/>
      <w:szCs w:val="20"/>
      <w:lang w:eastAsia="ru-RU"/>
    </w:rPr>
  </w:style>
  <w:style w:type="paragraph" w:styleId="ab">
    <w:name w:val="Title"/>
    <w:basedOn w:val="a"/>
    <w:link w:val="ac"/>
    <w:qFormat/>
    <w:rsid w:val="0029298D"/>
    <w:pPr>
      <w:jc w:val="center"/>
    </w:pPr>
    <w:rPr>
      <w:b/>
      <w:sz w:val="25"/>
    </w:rPr>
  </w:style>
  <w:style w:type="character" w:customStyle="1" w:styleId="ac">
    <w:name w:val="Название Знак"/>
    <w:basedOn w:val="a0"/>
    <w:link w:val="ab"/>
    <w:rsid w:val="0029298D"/>
    <w:rPr>
      <w:rFonts w:ascii="Times New Roman" w:eastAsia="Times New Roman" w:hAnsi="Times New Roman" w:cs="Times New Roman"/>
      <w:b/>
      <w:sz w:val="25"/>
      <w:szCs w:val="20"/>
      <w:lang w:eastAsia="ru-RU"/>
    </w:rPr>
  </w:style>
  <w:style w:type="paragraph" w:customStyle="1" w:styleId="ConsPlusNormal">
    <w:name w:val="ConsPlusNormal"/>
    <w:link w:val="ConsPlusNormal0"/>
    <w:rsid w:val="00292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rsid w:val="0029298D"/>
    <w:pPr>
      <w:spacing w:after="120" w:line="480" w:lineRule="auto"/>
      <w:ind w:left="283"/>
    </w:pPr>
  </w:style>
  <w:style w:type="character" w:customStyle="1" w:styleId="22">
    <w:name w:val="Основной текст с отступом 2 Знак"/>
    <w:basedOn w:val="a0"/>
    <w:link w:val="21"/>
    <w:rsid w:val="0029298D"/>
    <w:rPr>
      <w:rFonts w:ascii="Times New Roman" w:eastAsia="Times New Roman" w:hAnsi="Times New Roman" w:cs="Times New Roman"/>
      <w:sz w:val="24"/>
      <w:szCs w:val="20"/>
      <w:lang w:eastAsia="ru-RU"/>
    </w:rPr>
  </w:style>
  <w:style w:type="paragraph" w:customStyle="1" w:styleId="ad">
    <w:name w:val="Осн.Текст"/>
    <w:basedOn w:val="a"/>
    <w:autoRedefine/>
    <w:rsid w:val="000E18C4"/>
    <w:pPr>
      <w:ind w:firstLine="709"/>
      <w:jc w:val="both"/>
    </w:pPr>
    <w:rPr>
      <w:bCs/>
      <w:szCs w:val="24"/>
    </w:rPr>
  </w:style>
  <w:style w:type="paragraph" w:styleId="ae">
    <w:name w:val="Normal (Web)"/>
    <w:basedOn w:val="a"/>
    <w:uiPriority w:val="99"/>
    <w:unhideWhenUsed/>
    <w:rsid w:val="0029298D"/>
    <w:pPr>
      <w:spacing w:before="100" w:beforeAutospacing="1" w:after="100" w:afterAutospacing="1"/>
    </w:pPr>
    <w:rPr>
      <w:szCs w:val="24"/>
    </w:rPr>
  </w:style>
  <w:style w:type="character" w:styleId="af">
    <w:name w:val="Hyperlink"/>
    <w:rsid w:val="0016120E"/>
    <w:rPr>
      <w:rFonts w:ascii="Times New Roman" w:hAnsi="Times New Roman" w:cs="Times New Roman" w:hint="default"/>
      <w:b/>
      <w:bCs/>
      <w:color w:val="000080"/>
      <w:sz w:val="24"/>
      <w:szCs w:val="24"/>
      <w:u w:val="single"/>
    </w:rPr>
  </w:style>
  <w:style w:type="paragraph" w:customStyle="1" w:styleId="Default">
    <w:name w:val="Default"/>
    <w:rsid w:val="003419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0">
    <w:name w:val="Table Grid"/>
    <w:basedOn w:val="a1"/>
    <w:uiPriority w:val="59"/>
    <w:rsid w:val="00F80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annotation text"/>
    <w:basedOn w:val="a"/>
    <w:link w:val="af2"/>
    <w:uiPriority w:val="99"/>
    <w:unhideWhenUsed/>
    <w:rsid w:val="00B04D78"/>
    <w:rPr>
      <w:b/>
      <w:sz w:val="20"/>
    </w:rPr>
  </w:style>
  <w:style w:type="character" w:customStyle="1" w:styleId="af2">
    <w:name w:val="Текст примечания Знак"/>
    <w:basedOn w:val="a0"/>
    <w:link w:val="af1"/>
    <w:uiPriority w:val="99"/>
    <w:rsid w:val="00B04D78"/>
    <w:rPr>
      <w:rFonts w:ascii="Times New Roman" w:eastAsia="Times New Roman" w:hAnsi="Times New Roman" w:cs="Times New Roman"/>
      <w:b/>
      <w:sz w:val="20"/>
      <w:szCs w:val="20"/>
      <w:lang w:eastAsia="ru-RU"/>
    </w:rPr>
  </w:style>
  <w:style w:type="paragraph" w:styleId="af3">
    <w:name w:val="header"/>
    <w:basedOn w:val="a"/>
    <w:link w:val="af4"/>
    <w:uiPriority w:val="99"/>
    <w:unhideWhenUsed/>
    <w:rsid w:val="00500145"/>
    <w:pPr>
      <w:tabs>
        <w:tab w:val="center" w:pos="4677"/>
        <w:tab w:val="right" w:pos="9355"/>
      </w:tabs>
    </w:pPr>
  </w:style>
  <w:style w:type="character" w:customStyle="1" w:styleId="af4">
    <w:name w:val="Верхний колонтитул Знак"/>
    <w:basedOn w:val="a0"/>
    <w:link w:val="af3"/>
    <w:uiPriority w:val="99"/>
    <w:rsid w:val="00500145"/>
    <w:rPr>
      <w:rFonts w:ascii="Times New Roman" w:eastAsia="Times New Roman" w:hAnsi="Times New Roman" w:cs="Times New Roman"/>
      <w:sz w:val="24"/>
      <w:szCs w:val="20"/>
      <w:lang w:eastAsia="ru-RU"/>
    </w:rPr>
  </w:style>
  <w:style w:type="paragraph" w:styleId="af5">
    <w:name w:val="footer"/>
    <w:basedOn w:val="a"/>
    <w:link w:val="af6"/>
    <w:uiPriority w:val="99"/>
    <w:semiHidden/>
    <w:unhideWhenUsed/>
    <w:rsid w:val="00500145"/>
    <w:pPr>
      <w:tabs>
        <w:tab w:val="center" w:pos="4677"/>
        <w:tab w:val="right" w:pos="9355"/>
      </w:tabs>
    </w:pPr>
  </w:style>
  <w:style w:type="character" w:customStyle="1" w:styleId="af6">
    <w:name w:val="Нижний колонтитул Знак"/>
    <w:basedOn w:val="a0"/>
    <w:link w:val="af5"/>
    <w:uiPriority w:val="99"/>
    <w:semiHidden/>
    <w:rsid w:val="00500145"/>
    <w:rPr>
      <w:rFonts w:ascii="Times New Roman" w:eastAsia="Times New Roman" w:hAnsi="Times New Roman" w:cs="Times New Roman"/>
      <w:sz w:val="24"/>
      <w:szCs w:val="20"/>
      <w:lang w:eastAsia="ru-RU"/>
    </w:rPr>
  </w:style>
  <w:style w:type="character" w:customStyle="1" w:styleId="a8">
    <w:name w:val="Абзац списка Знак"/>
    <w:link w:val="a7"/>
    <w:uiPriority w:val="34"/>
    <w:locked/>
    <w:rsid w:val="0075253E"/>
    <w:rPr>
      <w:rFonts w:ascii="Times New Roman" w:eastAsia="Times New Roman" w:hAnsi="Times New Roman" w:cs="Times New Roman"/>
      <w:sz w:val="20"/>
      <w:szCs w:val="20"/>
      <w:lang w:eastAsia="ru-RU"/>
    </w:rPr>
  </w:style>
  <w:style w:type="paragraph" w:customStyle="1" w:styleId="ConsPlusNonformat">
    <w:name w:val="ConsPlusNonformat"/>
    <w:uiPriority w:val="99"/>
    <w:rsid w:val="007525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D1F0A"/>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98D"/>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29298D"/>
    <w:pPr>
      <w:keepNext/>
      <w:numPr>
        <w:numId w:val="2"/>
      </w:numPr>
      <w:jc w:val="both"/>
      <w:outlineLvl w:val="0"/>
    </w:pPr>
    <w:rPr>
      <w:i/>
    </w:rPr>
  </w:style>
  <w:style w:type="paragraph" w:styleId="2">
    <w:name w:val="heading 2"/>
    <w:basedOn w:val="a"/>
    <w:next w:val="a"/>
    <w:link w:val="20"/>
    <w:qFormat/>
    <w:rsid w:val="0029298D"/>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qFormat/>
    <w:rsid w:val="0029298D"/>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29298D"/>
    <w:pPr>
      <w:keepNext/>
      <w:numPr>
        <w:ilvl w:val="3"/>
        <w:numId w:val="2"/>
      </w:numPr>
      <w:spacing w:before="240" w:after="60"/>
      <w:outlineLvl w:val="3"/>
    </w:pPr>
    <w:rPr>
      <w:b/>
      <w:bCs/>
      <w:sz w:val="28"/>
      <w:szCs w:val="28"/>
    </w:rPr>
  </w:style>
  <w:style w:type="paragraph" w:styleId="5">
    <w:name w:val="heading 5"/>
    <w:basedOn w:val="a"/>
    <w:next w:val="a"/>
    <w:link w:val="50"/>
    <w:qFormat/>
    <w:rsid w:val="0029298D"/>
    <w:pPr>
      <w:numPr>
        <w:ilvl w:val="4"/>
        <w:numId w:val="2"/>
      </w:numPr>
      <w:spacing w:before="240" w:after="60"/>
      <w:outlineLvl w:val="4"/>
    </w:pPr>
    <w:rPr>
      <w:b/>
      <w:bCs/>
      <w:i/>
      <w:iCs/>
      <w:sz w:val="26"/>
      <w:szCs w:val="26"/>
    </w:rPr>
  </w:style>
  <w:style w:type="paragraph" w:styleId="6">
    <w:name w:val="heading 6"/>
    <w:basedOn w:val="a"/>
    <w:next w:val="a"/>
    <w:link w:val="60"/>
    <w:qFormat/>
    <w:rsid w:val="0029298D"/>
    <w:pPr>
      <w:numPr>
        <w:ilvl w:val="5"/>
        <w:numId w:val="2"/>
      </w:numPr>
      <w:spacing w:before="240" w:after="60"/>
      <w:outlineLvl w:val="5"/>
    </w:pPr>
    <w:rPr>
      <w:b/>
      <w:bCs/>
      <w:sz w:val="22"/>
      <w:szCs w:val="22"/>
    </w:rPr>
  </w:style>
  <w:style w:type="paragraph" w:styleId="7">
    <w:name w:val="heading 7"/>
    <w:basedOn w:val="a"/>
    <w:next w:val="a"/>
    <w:link w:val="70"/>
    <w:qFormat/>
    <w:rsid w:val="0029298D"/>
    <w:pPr>
      <w:numPr>
        <w:ilvl w:val="6"/>
        <w:numId w:val="2"/>
      </w:numPr>
      <w:spacing w:before="240" w:after="60"/>
      <w:outlineLvl w:val="6"/>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9298D"/>
    <w:pPr>
      <w:spacing w:after="120"/>
    </w:pPr>
  </w:style>
  <w:style w:type="character" w:customStyle="1" w:styleId="a4">
    <w:name w:val="Основной текст Знак"/>
    <w:basedOn w:val="a0"/>
    <w:link w:val="a3"/>
    <w:rsid w:val="0029298D"/>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29298D"/>
    <w:rPr>
      <w:rFonts w:ascii="Tahoma" w:hAnsi="Tahoma" w:cs="Tahoma"/>
      <w:sz w:val="16"/>
      <w:szCs w:val="16"/>
    </w:rPr>
  </w:style>
  <w:style w:type="character" w:customStyle="1" w:styleId="a6">
    <w:name w:val="Текст выноски Знак"/>
    <w:basedOn w:val="a0"/>
    <w:link w:val="a5"/>
    <w:uiPriority w:val="99"/>
    <w:semiHidden/>
    <w:rsid w:val="0029298D"/>
    <w:rPr>
      <w:rFonts w:ascii="Tahoma" w:eastAsia="Times New Roman" w:hAnsi="Tahoma" w:cs="Tahoma"/>
      <w:sz w:val="16"/>
      <w:szCs w:val="16"/>
      <w:lang w:eastAsia="ru-RU"/>
    </w:rPr>
  </w:style>
  <w:style w:type="character" w:customStyle="1" w:styleId="10">
    <w:name w:val="Заголовок 1 Знак"/>
    <w:basedOn w:val="a0"/>
    <w:link w:val="1"/>
    <w:rsid w:val="0029298D"/>
    <w:rPr>
      <w:rFonts w:ascii="Times New Roman" w:eastAsia="Times New Roman" w:hAnsi="Times New Roman" w:cs="Times New Roman"/>
      <w:i/>
      <w:sz w:val="24"/>
      <w:szCs w:val="20"/>
      <w:lang w:eastAsia="ru-RU"/>
    </w:rPr>
  </w:style>
  <w:style w:type="character" w:customStyle="1" w:styleId="20">
    <w:name w:val="Заголовок 2 Знак"/>
    <w:basedOn w:val="a0"/>
    <w:link w:val="2"/>
    <w:rsid w:val="0029298D"/>
    <w:rPr>
      <w:rFonts w:ascii="Arial" w:eastAsia="Times New Roman" w:hAnsi="Arial" w:cs="Arial"/>
      <w:b/>
      <w:bCs/>
      <w:i/>
      <w:iCs/>
      <w:sz w:val="28"/>
      <w:szCs w:val="28"/>
      <w:lang w:eastAsia="ru-RU"/>
    </w:rPr>
  </w:style>
  <w:style w:type="character" w:customStyle="1" w:styleId="30">
    <w:name w:val="Заголовок 3 Знак"/>
    <w:basedOn w:val="a0"/>
    <w:link w:val="3"/>
    <w:rsid w:val="0029298D"/>
    <w:rPr>
      <w:rFonts w:ascii="Arial" w:eastAsia="Times New Roman" w:hAnsi="Arial" w:cs="Arial"/>
      <w:b/>
      <w:bCs/>
      <w:sz w:val="26"/>
      <w:szCs w:val="26"/>
      <w:lang w:eastAsia="ru-RU"/>
    </w:rPr>
  </w:style>
  <w:style w:type="character" w:customStyle="1" w:styleId="40">
    <w:name w:val="Заголовок 4 Знак"/>
    <w:basedOn w:val="a0"/>
    <w:link w:val="4"/>
    <w:rsid w:val="0029298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9298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9298D"/>
    <w:rPr>
      <w:rFonts w:ascii="Times New Roman" w:eastAsia="Times New Roman" w:hAnsi="Times New Roman" w:cs="Times New Roman"/>
      <w:b/>
      <w:bCs/>
      <w:lang w:eastAsia="ru-RU"/>
    </w:rPr>
  </w:style>
  <w:style w:type="character" w:customStyle="1" w:styleId="70">
    <w:name w:val="Заголовок 7 Знак"/>
    <w:basedOn w:val="a0"/>
    <w:link w:val="7"/>
    <w:rsid w:val="0029298D"/>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29298D"/>
    <w:pPr>
      <w:ind w:left="720"/>
      <w:contextualSpacing/>
    </w:pPr>
    <w:rPr>
      <w:sz w:val="20"/>
    </w:rPr>
  </w:style>
  <w:style w:type="paragraph" w:styleId="31">
    <w:name w:val="Body Text 3"/>
    <w:basedOn w:val="a"/>
    <w:link w:val="32"/>
    <w:rsid w:val="0029298D"/>
    <w:pPr>
      <w:spacing w:after="120"/>
    </w:pPr>
    <w:rPr>
      <w:sz w:val="16"/>
      <w:szCs w:val="16"/>
    </w:rPr>
  </w:style>
  <w:style w:type="character" w:customStyle="1" w:styleId="32">
    <w:name w:val="Основной текст 3 Знак"/>
    <w:basedOn w:val="a0"/>
    <w:link w:val="31"/>
    <w:rsid w:val="0029298D"/>
    <w:rPr>
      <w:rFonts w:ascii="Times New Roman" w:eastAsia="Times New Roman" w:hAnsi="Times New Roman" w:cs="Times New Roman"/>
      <w:sz w:val="16"/>
      <w:szCs w:val="16"/>
      <w:lang w:eastAsia="ru-RU"/>
    </w:rPr>
  </w:style>
  <w:style w:type="paragraph" w:styleId="a9">
    <w:name w:val="Body Text Indent"/>
    <w:basedOn w:val="a"/>
    <w:link w:val="aa"/>
    <w:uiPriority w:val="99"/>
    <w:semiHidden/>
    <w:unhideWhenUsed/>
    <w:rsid w:val="0029298D"/>
    <w:pPr>
      <w:spacing w:after="120"/>
      <w:ind w:left="283"/>
    </w:pPr>
  </w:style>
  <w:style w:type="character" w:customStyle="1" w:styleId="aa">
    <w:name w:val="Основной текст с отступом Знак"/>
    <w:basedOn w:val="a0"/>
    <w:link w:val="a9"/>
    <w:uiPriority w:val="99"/>
    <w:semiHidden/>
    <w:rsid w:val="0029298D"/>
    <w:rPr>
      <w:rFonts w:ascii="Times New Roman" w:eastAsia="Times New Roman" w:hAnsi="Times New Roman" w:cs="Times New Roman"/>
      <w:sz w:val="24"/>
      <w:szCs w:val="20"/>
      <w:lang w:eastAsia="ru-RU"/>
    </w:rPr>
  </w:style>
  <w:style w:type="paragraph" w:styleId="ab">
    <w:name w:val="Title"/>
    <w:basedOn w:val="a"/>
    <w:link w:val="ac"/>
    <w:qFormat/>
    <w:rsid w:val="0029298D"/>
    <w:pPr>
      <w:jc w:val="center"/>
    </w:pPr>
    <w:rPr>
      <w:b/>
      <w:sz w:val="25"/>
    </w:rPr>
  </w:style>
  <w:style w:type="character" w:customStyle="1" w:styleId="ac">
    <w:name w:val="Название Знак"/>
    <w:basedOn w:val="a0"/>
    <w:link w:val="ab"/>
    <w:rsid w:val="0029298D"/>
    <w:rPr>
      <w:rFonts w:ascii="Times New Roman" w:eastAsia="Times New Roman" w:hAnsi="Times New Roman" w:cs="Times New Roman"/>
      <w:b/>
      <w:sz w:val="25"/>
      <w:szCs w:val="20"/>
      <w:lang w:eastAsia="ru-RU"/>
    </w:rPr>
  </w:style>
  <w:style w:type="paragraph" w:customStyle="1" w:styleId="ConsPlusNormal">
    <w:name w:val="ConsPlusNormal"/>
    <w:link w:val="ConsPlusNormal0"/>
    <w:rsid w:val="002929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rsid w:val="0029298D"/>
    <w:pPr>
      <w:spacing w:after="120" w:line="480" w:lineRule="auto"/>
      <w:ind w:left="283"/>
    </w:pPr>
  </w:style>
  <w:style w:type="character" w:customStyle="1" w:styleId="22">
    <w:name w:val="Основной текст с отступом 2 Знак"/>
    <w:basedOn w:val="a0"/>
    <w:link w:val="21"/>
    <w:rsid w:val="0029298D"/>
    <w:rPr>
      <w:rFonts w:ascii="Times New Roman" w:eastAsia="Times New Roman" w:hAnsi="Times New Roman" w:cs="Times New Roman"/>
      <w:sz w:val="24"/>
      <w:szCs w:val="20"/>
      <w:lang w:eastAsia="ru-RU"/>
    </w:rPr>
  </w:style>
  <w:style w:type="paragraph" w:customStyle="1" w:styleId="ad">
    <w:name w:val="Осн.Текст"/>
    <w:basedOn w:val="a"/>
    <w:autoRedefine/>
    <w:rsid w:val="000E18C4"/>
    <w:pPr>
      <w:ind w:firstLine="709"/>
      <w:jc w:val="both"/>
    </w:pPr>
    <w:rPr>
      <w:bCs/>
      <w:szCs w:val="24"/>
    </w:rPr>
  </w:style>
  <w:style w:type="paragraph" w:styleId="ae">
    <w:name w:val="Normal (Web)"/>
    <w:basedOn w:val="a"/>
    <w:uiPriority w:val="99"/>
    <w:unhideWhenUsed/>
    <w:rsid w:val="0029298D"/>
    <w:pPr>
      <w:spacing w:before="100" w:beforeAutospacing="1" w:after="100" w:afterAutospacing="1"/>
    </w:pPr>
    <w:rPr>
      <w:szCs w:val="24"/>
    </w:rPr>
  </w:style>
  <w:style w:type="character" w:styleId="af">
    <w:name w:val="Hyperlink"/>
    <w:rsid w:val="0016120E"/>
    <w:rPr>
      <w:rFonts w:ascii="Times New Roman" w:hAnsi="Times New Roman" w:cs="Times New Roman" w:hint="default"/>
      <w:b/>
      <w:bCs/>
      <w:color w:val="000080"/>
      <w:sz w:val="24"/>
      <w:szCs w:val="24"/>
      <w:u w:val="single"/>
    </w:rPr>
  </w:style>
  <w:style w:type="paragraph" w:customStyle="1" w:styleId="Default">
    <w:name w:val="Default"/>
    <w:rsid w:val="003419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0">
    <w:name w:val="Table Grid"/>
    <w:basedOn w:val="a1"/>
    <w:uiPriority w:val="59"/>
    <w:rsid w:val="00F802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annotation text"/>
    <w:basedOn w:val="a"/>
    <w:link w:val="af2"/>
    <w:uiPriority w:val="99"/>
    <w:unhideWhenUsed/>
    <w:rsid w:val="00B04D78"/>
    <w:rPr>
      <w:b/>
      <w:sz w:val="20"/>
    </w:rPr>
  </w:style>
  <w:style w:type="character" w:customStyle="1" w:styleId="af2">
    <w:name w:val="Текст примечания Знак"/>
    <w:basedOn w:val="a0"/>
    <w:link w:val="af1"/>
    <w:uiPriority w:val="99"/>
    <w:rsid w:val="00B04D78"/>
    <w:rPr>
      <w:rFonts w:ascii="Times New Roman" w:eastAsia="Times New Roman" w:hAnsi="Times New Roman" w:cs="Times New Roman"/>
      <w:b/>
      <w:sz w:val="20"/>
      <w:szCs w:val="20"/>
      <w:lang w:eastAsia="ru-RU"/>
    </w:rPr>
  </w:style>
  <w:style w:type="paragraph" w:styleId="af3">
    <w:name w:val="header"/>
    <w:basedOn w:val="a"/>
    <w:link w:val="af4"/>
    <w:uiPriority w:val="99"/>
    <w:unhideWhenUsed/>
    <w:rsid w:val="00500145"/>
    <w:pPr>
      <w:tabs>
        <w:tab w:val="center" w:pos="4677"/>
        <w:tab w:val="right" w:pos="9355"/>
      </w:tabs>
    </w:pPr>
  </w:style>
  <w:style w:type="character" w:customStyle="1" w:styleId="af4">
    <w:name w:val="Верхний колонтитул Знак"/>
    <w:basedOn w:val="a0"/>
    <w:link w:val="af3"/>
    <w:uiPriority w:val="99"/>
    <w:rsid w:val="00500145"/>
    <w:rPr>
      <w:rFonts w:ascii="Times New Roman" w:eastAsia="Times New Roman" w:hAnsi="Times New Roman" w:cs="Times New Roman"/>
      <w:sz w:val="24"/>
      <w:szCs w:val="20"/>
      <w:lang w:eastAsia="ru-RU"/>
    </w:rPr>
  </w:style>
  <w:style w:type="paragraph" w:styleId="af5">
    <w:name w:val="footer"/>
    <w:basedOn w:val="a"/>
    <w:link w:val="af6"/>
    <w:uiPriority w:val="99"/>
    <w:semiHidden/>
    <w:unhideWhenUsed/>
    <w:rsid w:val="00500145"/>
    <w:pPr>
      <w:tabs>
        <w:tab w:val="center" w:pos="4677"/>
        <w:tab w:val="right" w:pos="9355"/>
      </w:tabs>
    </w:pPr>
  </w:style>
  <w:style w:type="character" w:customStyle="1" w:styleId="af6">
    <w:name w:val="Нижний колонтитул Знак"/>
    <w:basedOn w:val="a0"/>
    <w:link w:val="af5"/>
    <w:uiPriority w:val="99"/>
    <w:semiHidden/>
    <w:rsid w:val="00500145"/>
    <w:rPr>
      <w:rFonts w:ascii="Times New Roman" w:eastAsia="Times New Roman" w:hAnsi="Times New Roman" w:cs="Times New Roman"/>
      <w:sz w:val="24"/>
      <w:szCs w:val="20"/>
      <w:lang w:eastAsia="ru-RU"/>
    </w:rPr>
  </w:style>
  <w:style w:type="character" w:customStyle="1" w:styleId="a8">
    <w:name w:val="Абзац списка Знак"/>
    <w:link w:val="a7"/>
    <w:uiPriority w:val="34"/>
    <w:locked/>
    <w:rsid w:val="0075253E"/>
    <w:rPr>
      <w:rFonts w:ascii="Times New Roman" w:eastAsia="Times New Roman" w:hAnsi="Times New Roman" w:cs="Times New Roman"/>
      <w:sz w:val="20"/>
      <w:szCs w:val="20"/>
      <w:lang w:eastAsia="ru-RU"/>
    </w:rPr>
  </w:style>
  <w:style w:type="paragraph" w:customStyle="1" w:styleId="ConsPlusNonformat">
    <w:name w:val="ConsPlusNonformat"/>
    <w:uiPriority w:val="99"/>
    <w:rsid w:val="0075253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D1F0A"/>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82465">
      <w:bodyDiv w:val="1"/>
      <w:marLeft w:val="0"/>
      <w:marRight w:val="0"/>
      <w:marTop w:val="0"/>
      <w:marBottom w:val="0"/>
      <w:divBdr>
        <w:top w:val="none" w:sz="0" w:space="0" w:color="auto"/>
        <w:left w:val="none" w:sz="0" w:space="0" w:color="auto"/>
        <w:bottom w:val="none" w:sz="0" w:space="0" w:color="auto"/>
        <w:right w:val="none" w:sz="0" w:space="0" w:color="auto"/>
      </w:divBdr>
    </w:div>
    <w:div w:id="1037505257">
      <w:bodyDiv w:val="1"/>
      <w:marLeft w:val="0"/>
      <w:marRight w:val="0"/>
      <w:marTop w:val="0"/>
      <w:marBottom w:val="0"/>
      <w:divBdr>
        <w:top w:val="none" w:sz="0" w:space="0" w:color="auto"/>
        <w:left w:val="none" w:sz="0" w:space="0" w:color="auto"/>
        <w:bottom w:val="none" w:sz="0" w:space="0" w:color="auto"/>
        <w:right w:val="none" w:sz="0" w:space="0" w:color="auto"/>
      </w:divBdr>
    </w:div>
    <w:div w:id="1200508080">
      <w:bodyDiv w:val="1"/>
      <w:marLeft w:val="0"/>
      <w:marRight w:val="0"/>
      <w:marTop w:val="0"/>
      <w:marBottom w:val="0"/>
      <w:divBdr>
        <w:top w:val="none" w:sz="0" w:space="0" w:color="auto"/>
        <w:left w:val="none" w:sz="0" w:space="0" w:color="auto"/>
        <w:bottom w:val="none" w:sz="0" w:space="0" w:color="auto"/>
        <w:right w:val="none" w:sz="0" w:space="0" w:color="auto"/>
      </w:divBdr>
    </w:div>
    <w:div w:id="1212034646">
      <w:bodyDiv w:val="1"/>
      <w:marLeft w:val="0"/>
      <w:marRight w:val="0"/>
      <w:marTop w:val="0"/>
      <w:marBottom w:val="0"/>
      <w:divBdr>
        <w:top w:val="none" w:sz="0" w:space="0" w:color="auto"/>
        <w:left w:val="none" w:sz="0" w:space="0" w:color="auto"/>
        <w:bottom w:val="none" w:sz="0" w:space="0" w:color="auto"/>
        <w:right w:val="none" w:sz="0" w:space="0" w:color="auto"/>
      </w:divBdr>
    </w:div>
    <w:div w:id="1230072294">
      <w:bodyDiv w:val="1"/>
      <w:marLeft w:val="0"/>
      <w:marRight w:val="0"/>
      <w:marTop w:val="0"/>
      <w:marBottom w:val="0"/>
      <w:divBdr>
        <w:top w:val="none" w:sz="0" w:space="0" w:color="auto"/>
        <w:left w:val="none" w:sz="0" w:space="0" w:color="auto"/>
        <w:bottom w:val="none" w:sz="0" w:space="0" w:color="auto"/>
        <w:right w:val="none" w:sz="0" w:space="0" w:color="auto"/>
      </w:divBdr>
    </w:div>
    <w:div w:id="1566450047">
      <w:bodyDiv w:val="1"/>
      <w:marLeft w:val="0"/>
      <w:marRight w:val="0"/>
      <w:marTop w:val="0"/>
      <w:marBottom w:val="0"/>
      <w:divBdr>
        <w:top w:val="none" w:sz="0" w:space="0" w:color="auto"/>
        <w:left w:val="none" w:sz="0" w:space="0" w:color="auto"/>
        <w:bottom w:val="none" w:sz="0" w:space="0" w:color="auto"/>
        <w:right w:val="none" w:sz="0" w:space="0" w:color="auto"/>
      </w:divBdr>
    </w:div>
    <w:div w:id="1652101014">
      <w:bodyDiv w:val="1"/>
      <w:marLeft w:val="0"/>
      <w:marRight w:val="0"/>
      <w:marTop w:val="0"/>
      <w:marBottom w:val="0"/>
      <w:divBdr>
        <w:top w:val="none" w:sz="0" w:space="0" w:color="auto"/>
        <w:left w:val="none" w:sz="0" w:space="0" w:color="auto"/>
        <w:bottom w:val="none" w:sz="0" w:space="0" w:color="auto"/>
        <w:right w:val="none" w:sz="0" w:space="0" w:color="auto"/>
      </w:divBdr>
    </w:div>
    <w:div w:id="166986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D:economicfinansdiag3.htm" TargetMode="Externa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D:economicfinansdiag3.htm"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D:economicfinansdiag3.htm" TargetMode="Externa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itchFamily="18" charset="0"/>
                <a:ea typeface="Script MT Bold"/>
                <a:cs typeface="Times New Roman" pitchFamily="18" charset="0"/>
              </a:defRPr>
            </a:pPr>
            <a:r>
              <a:rPr lang="ru-RU">
                <a:latin typeface="Times New Roman" pitchFamily="18" charset="0"/>
                <a:cs typeface="Times New Roman" pitchFamily="18" charset="0"/>
              </a:rPr>
              <a:t>Динамика прогнозируемых объемов промышленного производства на территории Белоярского района</a:t>
            </a:r>
          </a:p>
        </c:rich>
      </c:tx>
      <c:layout>
        <c:manualLayout>
          <c:xMode val="edge"/>
          <c:yMode val="edge"/>
          <c:x val="0.13311509289685247"/>
          <c:y val="2.6312242884533047E-2"/>
        </c:manualLayout>
      </c:layout>
      <c:overlay val="0"/>
      <c:spPr>
        <a:noFill/>
        <a:ln w="25400">
          <a:noFill/>
        </a:ln>
      </c:spPr>
    </c:title>
    <c:autoTitleDeleted val="0"/>
    <c:plotArea>
      <c:layout>
        <c:manualLayout>
          <c:layoutTarget val="inner"/>
          <c:xMode val="edge"/>
          <c:yMode val="edge"/>
          <c:x val="5.853725015142338E-2"/>
          <c:y val="0.23915631680060614"/>
          <c:w val="0.86258950804226397"/>
          <c:h val="0.4898612242435213"/>
        </c:manualLayout>
      </c:layout>
      <c:barChart>
        <c:barDir val="col"/>
        <c:grouping val="clustered"/>
        <c:varyColors val="0"/>
        <c:ser>
          <c:idx val="1"/>
          <c:order val="0"/>
          <c:tx>
            <c:strRef>
              <c:f>диаграммы!$A$6</c:f>
              <c:strCache>
                <c:ptCount val="1"/>
                <c:pt idx="0">
                  <c:v>  Объем промышленного производства, млн. руб</c:v>
                </c:pt>
              </c:strCache>
            </c:strRef>
          </c:tx>
          <c:spPr>
            <a:gradFill rotWithShape="0">
              <a:gsLst>
                <a:gs pos="29000">
                  <a:schemeClr val="tx2">
                    <a:lumMod val="75000"/>
                  </a:schemeClr>
                </a:gs>
                <a:gs pos="100000">
                  <a:schemeClr val="tx2">
                    <a:lumMod val="60000"/>
                    <a:lumOff val="40000"/>
                  </a:schemeClr>
                </a:gs>
                <a:gs pos="100000">
                  <a:srgbClr val="1F497D">
                    <a:lumMod val="75000"/>
                  </a:srgbClr>
                </a:gs>
                <a:gs pos="90000">
                  <a:srgbClr val="0070C0"/>
                </a:gs>
                <a:gs pos="100000">
                  <a:schemeClr val="tx2"/>
                </a:gs>
              </a:gsLst>
              <a:lin ang="18900000" scaled="1"/>
            </a:gradFill>
            <a:ln w="12700">
              <a:solidFill>
                <a:srgbClr val="000000"/>
              </a:solidFill>
              <a:prstDash val="solid"/>
            </a:ln>
            <a:scene3d>
              <a:camera prst="orthographicFront"/>
              <a:lightRig rig="threePt" dir="t"/>
            </a:scene3d>
            <a:sp3d>
              <a:bevelT/>
            </a:sp3d>
          </c:spPr>
          <c:invertIfNegative val="0"/>
          <c:dLbls>
            <c:dLbl>
              <c:idx val="0"/>
              <c:layout>
                <c:manualLayout>
                  <c:x val="3.7788402472604074E-3"/>
                  <c:y val="-5.125636754430230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3A2-4F21-B33C-0580C6F5BDED}"/>
                </c:ext>
              </c:extLst>
            </c:dLbl>
            <c:dLbl>
              <c:idx val="1"/>
              <c:layout>
                <c:manualLayout>
                  <c:x val="-1.6766971231705805E-3"/>
                  <c:y val="1.94127502846745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3A2-4F21-B33C-0580C6F5BDED}"/>
                </c:ext>
              </c:extLst>
            </c:dLbl>
            <c:dLbl>
              <c:idx val="2"/>
              <c:layout>
                <c:manualLayout>
                  <c:x val="-1.6766971231705629E-3"/>
                  <c:y val="-2.225658219089458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3A2-4F21-B33C-0580C6F5BDED}"/>
                </c:ext>
              </c:extLst>
            </c:dLbl>
            <c:dLbl>
              <c:idx val="3"/>
              <c:layout>
                <c:manualLayout>
                  <c:x val="-4.0035912041224091E-5"/>
                  <c:y val="1.03192894163817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3A2-4F21-B33C-0580C6F5BDED}"/>
                </c:ext>
              </c:extLst>
            </c:dLbl>
            <c:dLbl>
              <c:idx val="4"/>
              <c:layout>
                <c:manualLayout>
                  <c:x val="-4.0035912041261889E-5"/>
                  <c:y val="-4.260811650876770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3A2-4F21-B33C-0580C6F5BDED}"/>
                </c:ext>
              </c:extLst>
            </c:dLbl>
            <c:dLbl>
              <c:idx val="5"/>
              <c:layout>
                <c:manualLayout>
                  <c:x val="3.2332865102173425E-3"/>
                  <c:y val="-2.505364639391289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A2-4F21-B33C-0580C6F5BDED}"/>
                </c:ext>
              </c:extLst>
            </c:dLbl>
            <c:numFmt formatCode="#,##0.0" sourceLinked="0"/>
            <c:spPr>
              <a:no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диаграммы!$B$5:$F$5</c:f>
              <c:strCache>
                <c:ptCount val="5"/>
                <c:pt idx="0">
                  <c:v>2018 год                               отчет</c:v>
                </c:pt>
                <c:pt idx="1">
                  <c:v>2019 год                                 оценка</c:v>
                </c:pt>
                <c:pt idx="2">
                  <c:v>2020 год                                      прогноз</c:v>
                </c:pt>
                <c:pt idx="3">
                  <c:v>2021 год                                     прогноз</c:v>
                </c:pt>
                <c:pt idx="4">
                  <c:v>2022 год                                                прогноз</c:v>
                </c:pt>
              </c:strCache>
            </c:strRef>
          </c:cat>
          <c:val>
            <c:numRef>
              <c:f>диаграммы!$B$6:$F$6</c:f>
              <c:numCache>
                <c:formatCode>#,##0.0</c:formatCode>
                <c:ptCount val="5"/>
                <c:pt idx="0">
                  <c:v>45888.178688105007</c:v>
                </c:pt>
                <c:pt idx="1">
                  <c:v>58264.026317675729</c:v>
                </c:pt>
                <c:pt idx="2">
                  <c:v>67098.352596923491</c:v>
                </c:pt>
                <c:pt idx="3">
                  <c:v>78386.336837507464</c:v>
                </c:pt>
                <c:pt idx="4">
                  <c:v>92642.077280045152</c:v>
                </c:pt>
              </c:numCache>
            </c:numRef>
          </c:val>
          <c:extLst xmlns:c16r2="http://schemas.microsoft.com/office/drawing/2015/06/chart">
            <c:ext xmlns:c16="http://schemas.microsoft.com/office/drawing/2014/chart" uri="{C3380CC4-5D6E-409C-BE32-E72D297353CC}">
              <c16:uniqueId val="{00000006-53A2-4F21-B33C-0580C6F5BDED}"/>
            </c:ext>
          </c:extLst>
        </c:ser>
        <c:dLbls>
          <c:showLegendKey val="0"/>
          <c:showVal val="0"/>
          <c:showCatName val="0"/>
          <c:showSerName val="0"/>
          <c:showPercent val="0"/>
          <c:showBubbleSize val="0"/>
        </c:dLbls>
        <c:gapWidth val="50"/>
        <c:overlap val="100"/>
        <c:axId val="177386624"/>
        <c:axId val="177388160"/>
      </c:barChart>
      <c:lineChart>
        <c:grouping val="standard"/>
        <c:varyColors val="0"/>
        <c:ser>
          <c:idx val="0"/>
          <c:order val="1"/>
          <c:tx>
            <c:strRef>
              <c:f>диаграммы!$A$7</c:f>
              <c:strCache>
                <c:ptCount val="1"/>
                <c:pt idx="0">
                  <c:v>Индекс промышленного производства,%</c:v>
                </c:pt>
              </c:strCache>
            </c:strRef>
          </c:tx>
          <c:spPr>
            <a:ln w="31750" cmpd="sng">
              <a:solidFill>
                <a:schemeClr val="accent2">
                  <a:lumMod val="75000"/>
                </a:schemeClr>
              </a:solidFill>
              <a:prstDash val="solid"/>
              <a:round/>
            </a:ln>
          </c:spPr>
          <c:marker>
            <c:symbol val="diamond"/>
            <c:size val="6"/>
            <c:spPr>
              <a:solidFill>
                <a:schemeClr val="accent2">
                  <a:lumMod val="75000"/>
                </a:schemeClr>
              </a:solidFill>
            </c:spPr>
          </c:marker>
          <c:dLbls>
            <c:dLbl>
              <c:idx val="0"/>
              <c:layout>
                <c:manualLayout>
                  <c:x val="-3.772118712355662E-2"/>
                  <c:y val="-3.7703645822898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3A2-4F21-B33C-0580C6F5BDED}"/>
                </c:ext>
              </c:extLst>
            </c:dLbl>
            <c:dLbl>
              <c:idx val="1"/>
              <c:layout>
                <c:manualLayout>
                  <c:x val="-4.1462084015275506E-2"/>
                  <c:y val="-3.7703513281919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3A2-4F21-B33C-0580C6F5BDED}"/>
                </c:ext>
              </c:extLst>
            </c:dLbl>
            <c:dLbl>
              <c:idx val="2"/>
              <c:layout>
                <c:manualLayout>
                  <c:x val="-5.0190943807965085E-2"/>
                  <c:y val="-3.7703513281919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3A2-4F21-B33C-0580C6F5BDED}"/>
                </c:ext>
              </c:extLst>
            </c:dLbl>
            <c:dLbl>
              <c:idx val="3"/>
              <c:layout>
                <c:manualLayout>
                  <c:x val="-4.3644470791396578E-2"/>
                  <c:y val="-3.7703783171062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3A2-4F21-B33C-0580C6F5BDED}"/>
                </c:ext>
              </c:extLst>
            </c:dLbl>
            <c:dLbl>
              <c:idx val="4"/>
              <c:layout>
                <c:manualLayout>
                  <c:x val="-4.8008728859792689E-2"/>
                  <c:y val="-3.7703513281919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53A2-4F21-B33C-0580C6F5BDED}"/>
                </c:ext>
              </c:extLst>
            </c:dLbl>
            <c:dLbl>
              <c:idx val="5"/>
              <c:layout>
                <c:manualLayout>
                  <c:x val="-3.9072044080649418E-2"/>
                  <c:y val="-4.410517387616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3A2-4F21-B33C-0580C6F5BDED}"/>
                </c:ext>
              </c:extLst>
            </c:dLbl>
            <c:dLbl>
              <c:idx val="6"/>
              <c:layout>
                <c:manualLayout>
                  <c:x val="-3.9072044080649418E-2"/>
                  <c:y val="-4.07124681933841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3A2-4F21-B33C-0580C6F5BDED}"/>
                </c:ext>
              </c:extLst>
            </c:dLbl>
            <c:dLbl>
              <c:idx val="7"/>
              <c:layout>
                <c:manualLayout>
                  <c:x val="-4.0700045917343025E-2"/>
                  <c:y val="-3.73197625106022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3A2-4F21-B33C-0580C6F5BDED}"/>
                </c:ext>
              </c:extLst>
            </c:dLbl>
            <c:numFmt formatCode="#,##0.0" sourceLinked="0"/>
            <c:spPr>
              <a:noFill/>
              <a:ln>
                <a:noFill/>
              </a:ln>
              <a:effectLst/>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диаграммы!$B$5:$F$5</c:f>
              <c:strCache>
                <c:ptCount val="5"/>
                <c:pt idx="0">
                  <c:v>2018 год                               отчет</c:v>
                </c:pt>
                <c:pt idx="1">
                  <c:v>2019 год                                 оценка</c:v>
                </c:pt>
                <c:pt idx="2">
                  <c:v>2020 год                                      прогноз</c:v>
                </c:pt>
                <c:pt idx="3">
                  <c:v>2021 год                                     прогноз</c:v>
                </c:pt>
                <c:pt idx="4">
                  <c:v>2022 год                                                прогноз</c:v>
                </c:pt>
              </c:strCache>
            </c:strRef>
          </c:cat>
          <c:val>
            <c:numRef>
              <c:f>диаграммы!$B$7:$F$7</c:f>
              <c:numCache>
                <c:formatCode>#,##0.0</c:formatCode>
                <c:ptCount val="5"/>
                <c:pt idx="0">
                  <c:v>119.80408037278447</c:v>
                </c:pt>
                <c:pt idx="1">
                  <c:v>122.94277865961502</c:v>
                </c:pt>
                <c:pt idx="2">
                  <c:v>113.00935660429697</c:v>
                </c:pt>
                <c:pt idx="3">
                  <c:v>113.68085106448117</c:v>
                </c:pt>
                <c:pt idx="4">
                  <c:v>114.1516097597185</c:v>
                </c:pt>
              </c:numCache>
            </c:numRef>
          </c:val>
          <c:smooth val="0"/>
          <c:extLst xmlns:c16r2="http://schemas.microsoft.com/office/drawing/2015/06/chart">
            <c:ext xmlns:c16="http://schemas.microsoft.com/office/drawing/2014/chart" uri="{C3380CC4-5D6E-409C-BE32-E72D297353CC}">
              <c16:uniqueId val="{0000000F-53A2-4F21-B33C-0580C6F5BDED}"/>
            </c:ext>
          </c:extLst>
        </c:ser>
        <c:dLbls>
          <c:showLegendKey val="0"/>
          <c:showVal val="0"/>
          <c:showCatName val="0"/>
          <c:showSerName val="0"/>
          <c:showPercent val="0"/>
          <c:showBubbleSize val="0"/>
        </c:dLbls>
        <c:marker val="1"/>
        <c:smooth val="0"/>
        <c:axId val="177295744"/>
        <c:axId val="177297280"/>
      </c:lineChart>
      <c:catAx>
        <c:axId val="17738662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177388160"/>
        <c:crosses val="autoZero"/>
        <c:auto val="0"/>
        <c:lblAlgn val="ctr"/>
        <c:lblOffset val="100"/>
        <c:tickLblSkip val="1"/>
        <c:tickMarkSkip val="1"/>
        <c:noMultiLvlLbl val="0"/>
      </c:catAx>
      <c:valAx>
        <c:axId val="177388160"/>
        <c:scaling>
          <c:orientation val="minMax"/>
          <c:max val="150000"/>
          <c:min val="5000"/>
        </c:scaling>
        <c:delete val="0"/>
        <c:axPos val="l"/>
        <c:numFmt formatCode="#,##0.0" sourceLinked="1"/>
        <c:majorTickMark val="none"/>
        <c:minorTickMark val="none"/>
        <c:tickLblPos val="none"/>
        <c:spPr>
          <a:ln w="9525">
            <a:noFill/>
          </a:ln>
        </c:spPr>
        <c:crossAx val="177386624"/>
        <c:crosses val="autoZero"/>
        <c:crossBetween val="between"/>
      </c:valAx>
      <c:catAx>
        <c:axId val="177295744"/>
        <c:scaling>
          <c:orientation val="minMax"/>
        </c:scaling>
        <c:delete val="1"/>
        <c:axPos val="b"/>
        <c:numFmt formatCode="General" sourceLinked="1"/>
        <c:majorTickMark val="out"/>
        <c:minorTickMark val="none"/>
        <c:tickLblPos val="nextTo"/>
        <c:crossAx val="177297280"/>
        <c:crosses val="autoZero"/>
        <c:auto val="0"/>
        <c:lblAlgn val="ctr"/>
        <c:lblOffset val="100"/>
        <c:noMultiLvlLbl val="0"/>
      </c:catAx>
      <c:valAx>
        <c:axId val="177297280"/>
        <c:scaling>
          <c:orientation val="minMax"/>
          <c:max val="125"/>
          <c:min val="0"/>
        </c:scaling>
        <c:delete val="0"/>
        <c:axPos val="r"/>
        <c:numFmt formatCode="#,##0.0" sourceLinked="1"/>
        <c:majorTickMark val="cross"/>
        <c:minorTickMark val="none"/>
        <c:tickLblPos val="nextTo"/>
        <c:spPr>
          <a:ln w="3175">
            <a:solidFill>
              <a:srgbClr val="FFFFFF"/>
            </a:solidFill>
            <a:prstDash val="solid"/>
          </a:ln>
        </c:spPr>
        <c:txPr>
          <a:bodyPr rot="0" vert="horz"/>
          <a:lstStyle/>
          <a:p>
            <a:pPr>
              <a:defRPr sz="1100" b="0" i="0" u="none" strike="noStrike" baseline="0">
                <a:solidFill>
                  <a:srgbClr val="FFFFFF"/>
                </a:solidFill>
                <a:latin typeface="Times New Roman"/>
                <a:ea typeface="Times New Roman"/>
                <a:cs typeface="Times New Roman"/>
              </a:defRPr>
            </a:pPr>
            <a:endParaRPr lang="ru-RU"/>
          </a:p>
        </c:txPr>
        <c:crossAx val="177295744"/>
        <c:crosses val="max"/>
        <c:crossBetween val="between"/>
      </c:valAx>
      <c:spPr>
        <a:solidFill>
          <a:srgbClr val="FFFFFF"/>
        </a:solidFill>
        <a:ln w="12700">
          <a:solidFill>
            <a:srgbClr val="FFFFFF"/>
          </a:solidFill>
          <a:prstDash val="solid"/>
        </a:ln>
      </c:spPr>
    </c:plotArea>
    <c:legend>
      <c:legendPos val="r"/>
      <c:layout>
        <c:manualLayout>
          <c:xMode val="edge"/>
          <c:yMode val="edge"/>
          <c:x val="0"/>
          <c:y val="0.8955175430657375"/>
          <c:w val="1"/>
          <c:h val="7.1979300459782958E-2"/>
        </c:manualLayout>
      </c:layout>
      <c:overlay val="0"/>
      <c:spPr>
        <a:solidFill>
          <a:srgbClr val="FFFFFF"/>
        </a:solidFill>
        <a:ln w="3175">
          <a:solidFill>
            <a:srgbClr val="FFFFFF"/>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FFFFFF"/>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8.2261864807882626E-2"/>
          <c:y val="0.15702273579438933"/>
          <c:w val="0.83481738755258361"/>
          <c:h val="0.81123222640648185"/>
        </c:manualLayout>
      </c:layout>
      <c:pie3DChart>
        <c:varyColors val="1"/>
        <c:ser>
          <c:idx val="0"/>
          <c:order val="0"/>
          <c:explosion val="26"/>
          <c:dPt>
            <c:idx val="0"/>
            <c:bubble3D val="0"/>
            <c:explosion val="5"/>
          </c:dPt>
          <c:dPt>
            <c:idx val="1"/>
            <c:bubble3D val="0"/>
            <c:explosion val="10"/>
          </c:dPt>
          <c:dPt>
            <c:idx val="2"/>
            <c:bubble3D val="0"/>
            <c:explosion val="11"/>
          </c:dPt>
          <c:dPt>
            <c:idx val="3"/>
            <c:bubble3D val="0"/>
            <c:explosion val="6"/>
            <c:spPr>
              <a:solidFill>
                <a:srgbClr val="FFC000"/>
              </a:solidFill>
            </c:spPr>
          </c:dPt>
          <c:dPt>
            <c:idx val="4"/>
            <c:bubble3D val="0"/>
            <c:explosion val="9"/>
          </c:dPt>
          <c:dPt>
            <c:idx val="5"/>
            <c:bubble3D val="0"/>
            <c:explosion val="6"/>
          </c:dPt>
          <c:dPt>
            <c:idx val="6"/>
            <c:bubble3D val="0"/>
            <c:explosion val="10"/>
          </c:dPt>
          <c:dPt>
            <c:idx val="7"/>
            <c:bubble3D val="0"/>
            <c:explosion val="11"/>
          </c:dPt>
          <c:dPt>
            <c:idx val="8"/>
            <c:bubble3D val="0"/>
            <c:explosion val="0"/>
          </c:dPt>
          <c:dLbls>
            <c:dLbl>
              <c:idx val="0"/>
              <c:layout>
                <c:manualLayout>
                  <c:x val="-5.5378196936294637E-2"/>
                  <c:y val="-5.3572587346179715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8.0170388537498388E-3"/>
                  <c:y val="-2.296049357466680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7569295641323524E-2"/>
                  <c:y val="3.5185601799775028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3.0894143506671534E-2"/>
                  <c:y val="2.526064624697032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2.6723859202161058E-2"/>
                  <c:y val="4.519735272325409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9.951221210971764E-3"/>
                  <c:y val="-0.1084179427320329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2.4394003694855847E-2"/>
                  <c:y val="-7.798546538466612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2.8876688027089693E-2"/>
                  <c:y val="-5.479866524222162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6.6842509756952781E-3"/>
                  <c:y val="-2.271684938904168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занятость!$A$3:$A$11</c:f>
              <c:strCache>
                <c:ptCount val="9"/>
                <c:pt idx="0">
                  <c:v>добыча полезных ископаемых</c:v>
                </c:pt>
                <c:pt idx="1">
                  <c:v>обрабатывающие производства</c:v>
                </c:pt>
                <c:pt idx="2">
                  <c:v>обеспечение эл.энергией, газом и паром; кондиционирование воздуха</c:v>
                </c:pt>
                <c:pt idx="3">
                  <c:v>строительство</c:v>
                </c:pt>
                <c:pt idx="4">
                  <c:v>транспортировка и хранение</c:v>
                </c:pt>
                <c:pt idx="5">
                  <c:v>государственное управление</c:v>
                </c:pt>
                <c:pt idx="6">
                  <c:v>образование</c:v>
                </c:pt>
                <c:pt idx="7">
                  <c:v>здравоохранение и предоставление социальных услуг</c:v>
                </c:pt>
                <c:pt idx="8">
                  <c:v>прочие</c:v>
                </c:pt>
              </c:strCache>
            </c:strRef>
          </c:cat>
          <c:val>
            <c:numRef>
              <c:f>занятость!$B$3:$B$11</c:f>
              <c:numCache>
                <c:formatCode>0%</c:formatCode>
                <c:ptCount val="9"/>
                <c:pt idx="0">
                  <c:v>0.10223276355606445</c:v>
                </c:pt>
                <c:pt idx="1">
                  <c:v>3.5985932771734688E-2</c:v>
                </c:pt>
                <c:pt idx="2">
                  <c:v>4.342847795861618E-2</c:v>
                </c:pt>
                <c:pt idx="3">
                  <c:v>8.7511245603991164E-2</c:v>
                </c:pt>
                <c:pt idx="4">
                  <c:v>0.34252065101823831</c:v>
                </c:pt>
                <c:pt idx="5">
                  <c:v>7.8187617567678086E-2</c:v>
                </c:pt>
                <c:pt idx="6">
                  <c:v>0.11057495706223931</c:v>
                </c:pt>
                <c:pt idx="7">
                  <c:v>7.6061176085711946E-2</c:v>
                </c:pt>
                <c:pt idx="8">
                  <c:v>0.123</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Динамика среднесписочной численности работников организаций по полному кругу, тыс. чел.</a:t>
            </a:r>
          </a:p>
        </c:rich>
      </c:tx>
      <c:layout/>
      <c:overlay val="0"/>
      <c:spPr>
        <a:noFill/>
        <a:ln>
          <a:noFill/>
        </a:ln>
        <a:effectLst/>
      </c:spPr>
    </c:title>
    <c:autoTitleDeleted val="0"/>
    <c:view3D>
      <c:rotX val="15"/>
      <c:rotY val="20"/>
      <c:depthPercent val="100"/>
      <c:rAngAx val="1"/>
    </c:view3D>
    <c:floor>
      <c:thickness val="0"/>
      <c:spPr>
        <a:solidFill>
          <a:schemeClr val="accent3">
            <a:lumMod val="20000"/>
            <a:lumOff val="8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Разное!$L$5</c:f>
              <c:strCache>
                <c:ptCount val="1"/>
                <c:pt idx="0">
                  <c:v>Численность занятых в малом бизнесе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Разное!$N$4:$S$4</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Разное!$N$5:$S$5</c:f>
              <c:numCache>
                <c:formatCode>General</c:formatCode>
                <c:ptCount val="6"/>
                <c:pt idx="0">
                  <c:v>4.16</c:v>
                </c:pt>
                <c:pt idx="1">
                  <c:v>4.16</c:v>
                </c:pt>
                <c:pt idx="2">
                  <c:v>4.16</c:v>
                </c:pt>
                <c:pt idx="3">
                  <c:v>4.1619999999999999</c:v>
                </c:pt>
                <c:pt idx="4">
                  <c:v>4.1639999999999997</c:v>
                </c:pt>
                <c:pt idx="5">
                  <c:v>4.1660000000000004</c:v>
                </c:pt>
              </c:numCache>
            </c:numRef>
          </c:val>
        </c:ser>
        <c:ser>
          <c:idx val="1"/>
          <c:order val="1"/>
          <c:tx>
            <c:strRef>
              <c:f>Разное!$L$6</c:f>
              <c:strCache>
                <c:ptCount val="1"/>
                <c:pt idx="0">
                  <c:v>Среднесписочная численность работников крупных и средних предприятий</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Разное!$N$4:$S$4</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Разное!$N$6:$S$6</c:f>
              <c:numCache>
                <c:formatCode>0.000</c:formatCode>
                <c:ptCount val="6"/>
                <c:pt idx="0">
                  <c:v>12.186999999999999</c:v>
                </c:pt>
                <c:pt idx="1">
                  <c:v>12.227</c:v>
                </c:pt>
                <c:pt idx="2">
                  <c:v>11.847</c:v>
                </c:pt>
                <c:pt idx="3">
                  <c:v>11.494</c:v>
                </c:pt>
                <c:pt idx="4">
                  <c:v>11.182</c:v>
                </c:pt>
                <c:pt idx="5">
                  <c:v>10.858000000000001</c:v>
                </c:pt>
              </c:numCache>
            </c:numRef>
          </c:val>
        </c:ser>
        <c:dLbls>
          <c:showLegendKey val="0"/>
          <c:showVal val="1"/>
          <c:showCatName val="0"/>
          <c:showSerName val="0"/>
          <c:showPercent val="0"/>
          <c:showBubbleSize val="0"/>
        </c:dLbls>
        <c:gapWidth val="150"/>
        <c:shape val="box"/>
        <c:axId val="196056960"/>
        <c:axId val="196058496"/>
        <c:axId val="0"/>
      </c:bar3DChart>
      <c:catAx>
        <c:axId val="196056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058496"/>
        <c:crosses val="autoZero"/>
        <c:auto val="1"/>
        <c:lblAlgn val="ctr"/>
        <c:lblOffset val="100"/>
        <c:noMultiLvlLbl val="0"/>
      </c:catAx>
      <c:valAx>
        <c:axId val="196058496"/>
        <c:scaling>
          <c:orientation val="minMax"/>
        </c:scaling>
        <c:delete val="1"/>
        <c:axPos val="l"/>
        <c:numFmt formatCode="General" sourceLinked="1"/>
        <c:majorTickMark val="none"/>
        <c:minorTickMark val="none"/>
        <c:tickLblPos val="nextTo"/>
        <c:crossAx val="196056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Динамика демографических показателей на территории Белоярского района</a:t>
            </a:r>
          </a:p>
        </c:rich>
      </c:tx>
      <c:layout>
        <c:manualLayout>
          <c:xMode val="edge"/>
          <c:yMode val="edge"/>
          <c:x val="0.13630351055084727"/>
          <c:y val="2.2988365260312612E-2"/>
        </c:manualLayout>
      </c:layout>
      <c:overlay val="0"/>
    </c:title>
    <c:autoTitleDeleted val="0"/>
    <c:plotArea>
      <c:layout>
        <c:manualLayout>
          <c:layoutTarget val="inner"/>
          <c:xMode val="edge"/>
          <c:yMode val="edge"/>
          <c:x val="0.13090263054325971"/>
          <c:y val="0.161082910321489"/>
          <c:w val="0.74999414675044362"/>
          <c:h val="0.55004223456839685"/>
        </c:manualLayout>
      </c:layout>
      <c:barChart>
        <c:barDir val="col"/>
        <c:grouping val="clustered"/>
        <c:varyColors val="0"/>
        <c:ser>
          <c:idx val="0"/>
          <c:order val="0"/>
          <c:tx>
            <c:strRef>
              <c:f>демогр!$H$3:$I$3</c:f>
              <c:strCache>
                <c:ptCount val="2"/>
                <c:pt idx="0">
                  <c:v>Родилось, человек</c:v>
                </c:pt>
              </c:strCache>
            </c:strRef>
          </c:t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демогр!$K$2:$P$2</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демогр!$K$3:$P$3</c:f>
              <c:numCache>
                <c:formatCode>General</c:formatCode>
                <c:ptCount val="6"/>
                <c:pt idx="0">
                  <c:v>388</c:v>
                </c:pt>
                <c:pt idx="1">
                  <c:v>316</c:v>
                </c:pt>
                <c:pt idx="2">
                  <c:v>313</c:v>
                </c:pt>
                <c:pt idx="3">
                  <c:v>319</c:v>
                </c:pt>
                <c:pt idx="4">
                  <c:v>327</c:v>
                </c:pt>
                <c:pt idx="5">
                  <c:v>339</c:v>
                </c:pt>
              </c:numCache>
            </c:numRef>
          </c:val>
        </c:ser>
        <c:ser>
          <c:idx val="2"/>
          <c:order val="2"/>
          <c:tx>
            <c:strRef>
              <c:f>демогр!$H$5:$I$5</c:f>
              <c:strCache>
                <c:ptCount val="2"/>
                <c:pt idx="0">
                  <c:v>Умерло, человек</c:v>
                </c:pt>
              </c:strCache>
            </c:strRef>
          </c:tx>
          <c:invertIfNegative val="0"/>
          <c:dLbls>
            <c:spPr>
              <a:noFill/>
              <a:ln>
                <a:noFill/>
              </a:ln>
              <a:effectLst/>
            </c:spPr>
            <c:txPr>
              <a:bodyPr/>
              <a:lstStyle/>
              <a:p>
                <a:pPr>
                  <a:defRPr b="1"/>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демогр!$K$2:$P$2</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демогр!$K$5:$P$5</c:f>
              <c:numCache>
                <c:formatCode>General</c:formatCode>
                <c:ptCount val="6"/>
                <c:pt idx="0">
                  <c:v>181</c:v>
                </c:pt>
                <c:pt idx="1">
                  <c:v>184</c:v>
                </c:pt>
                <c:pt idx="2">
                  <c:v>180</c:v>
                </c:pt>
                <c:pt idx="3">
                  <c:v>184</c:v>
                </c:pt>
                <c:pt idx="4">
                  <c:v>175</c:v>
                </c:pt>
                <c:pt idx="5">
                  <c:v>170</c:v>
                </c:pt>
              </c:numCache>
            </c:numRef>
          </c:val>
        </c:ser>
        <c:dLbls>
          <c:showLegendKey val="0"/>
          <c:showVal val="0"/>
          <c:showCatName val="0"/>
          <c:showSerName val="0"/>
          <c:showPercent val="0"/>
          <c:showBubbleSize val="0"/>
        </c:dLbls>
        <c:gapWidth val="75"/>
        <c:axId val="196396160"/>
        <c:axId val="196397696"/>
      </c:barChart>
      <c:lineChart>
        <c:grouping val="standard"/>
        <c:varyColors val="0"/>
        <c:ser>
          <c:idx val="1"/>
          <c:order val="1"/>
          <c:tx>
            <c:strRef>
              <c:f>демогр!$H$4:$I$4</c:f>
              <c:strCache>
                <c:ptCount val="2"/>
                <c:pt idx="0">
                  <c:v>Коэффициент естественного прироста, промилле</c:v>
                </c:pt>
              </c:strCache>
            </c:strRef>
          </c:tx>
          <c:spPr>
            <a:ln>
              <a:solidFill>
                <a:srgbClr val="C0504D">
                  <a:lumMod val="60000"/>
                  <a:lumOff val="40000"/>
                </a:srgbClr>
              </a:solidFill>
            </a:ln>
          </c:spPr>
          <c:marker>
            <c:spPr>
              <a:solidFill>
                <a:srgbClr val="C0504D">
                  <a:lumMod val="75000"/>
                </a:srgbClr>
              </a:solidFill>
              <a:ln>
                <a:solidFill>
                  <a:srgbClr val="C0504D">
                    <a:lumMod val="60000"/>
                    <a:lumOff val="40000"/>
                  </a:srgbClr>
                </a:solidFill>
              </a:ln>
            </c:spPr>
          </c:marker>
          <c:dLbls>
            <c:dLbl>
              <c:idx val="0"/>
              <c:layout>
                <c:manualLayout>
                  <c:x val="-4.5844322886800404E-2"/>
                  <c:y val="-5.43413672275737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844322886800383E-2"/>
                  <c:y val="-5.03611921606245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27312265846788E-2"/>
                  <c:y val="-5.155335278521656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827904428884592E-2"/>
                  <c:y val="-5.43413672275737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922996135368752E-2"/>
                  <c:y val="-4.75731777182674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демогр!$K$2:$P$2</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демогр!$K$4:$P$4</c:f>
              <c:numCache>
                <c:formatCode>General</c:formatCode>
                <c:ptCount val="6"/>
                <c:pt idx="0">
                  <c:v>7.1</c:v>
                </c:pt>
                <c:pt idx="1">
                  <c:v>4.5999999999999996</c:v>
                </c:pt>
                <c:pt idx="2">
                  <c:v>4.7</c:v>
                </c:pt>
                <c:pt idx="3">
                  <c:v>4.8</c:v>
                </c:pt>
                <c:pt idx="4">
                  <c:v>5.5</c:v>
                </c:pt>
                <c:pt idx="5">
                  <c:v>6.1</c:v>
                </c:pt>
              </c:numCache>
            </c:numRef>
          </c:val>
          <c:smooth val="0"/>
        </c:ser>
        <c:dLbls>
          <c:showLegendKey val="0"/>
          <c:showVal val="0"/>
          <c:showCatName val="0"/>
          <c:showSerName val="0"/>
          <c:showPercent val="0"/>
          <c:showBubbleSize val="0"/>
        </c:dLbls>
        <c:marker val="1"/>
        <c:smooth val="0"/>
        <c:axId val="195891968"/>
        <c:axId val="195893504"/>
      </c:lineChart>
      <c:catAx>
        <c:axId val="19639616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397696"/>
        <c:crosses val="autoZero"/>
        <c:auto val="1"/>
        <c:lblAlgn val="ctr"/>
        <c:lblOffset val="100"/>
        <c:noMultiLvlLbl val="0"/>
      </c:catAx>
      <c:valAx>
        <c:axId val="196397696"/>
        <c:scaling>
          <c:orientation val="minMax"/>
          <c:max val="700"/>
          <c:min val="1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2.5958702064896755E-2"/>
              <c:y val="0.39014162569780614"/>
            </c:manualLayout>
          </c:layout>
          <c:overlay val="0"/>
        </c:title>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396160"/>
        <c:crosses val="autoZero"/>
        <c:crossBetween val="between"/>
        <c:majorUnit val="100"/>
        <c:minorUnit val="4"/>
      </c:valAx>
      <c:catAx>
        <c:axId val="195891968"/>
        <c:scaling>
          <c:orientation val="minMax"/>
        </c:scaling>
        <c:delete val="1"/>
        <c:axPos val="b"/>
        <c:numFmt formatCode="General" sourceLinked="1"/>
        <c:majorTickMark val="out"/>
        <c:minorTickMark val="none"/>
        <c:tickLblPos val="none"/>
        <c:crossAx val="195893504"/>
        <c:crossesAt val="157.6"/>
        <c:auto val="1"/>
        <c:lblAlgn val="ctr"/>
        <c:lblOffset val="100"/>
        <c:noMultiLvlLbl val="0"/>
      </c:catAx>
      <c:valAx>
        <c:axId val="195893504"/>
        <c:scaling>
          <c:orientation val="minMax"/>
          <c:max val="12"/>
          <c:min val="0"/>
        </c:scaling>
        <c:delete val="0"/>
        <c:axPos val="r"/>
        <c:title>
          <c:tx>
            <c:rich>
              <a:bodyPr/>
              <a:lstStyle/>
              <a:p>
                <a:pPr>
                  <a:defRPr sz="1000" b="1" i="0" u="none" strike="noStrike" baseline="0">
                    <a:solidFill>
                      <a:srgbClr val="000000"/>
                    </a:solidFill>
                    <a:latin typeface="Times New Roman"/>
                    <a:ea typeface="Times New Roman"/>
                    <a:cs typeface="Times New Roman"/>
                  </a:defRPr>
                </a:pPr>
                <a:r>
                  <a:rPr lang="ru-RU"/>
                  <a:t>промилле</a:t>
                </a:r>
              </a:p>
            </c:rich>
          </c:tx>
          <c:layout>
            <c:manualLayout>
              <c:xMode val="edge"/>
              <c:yMode val="edge"/>
              <c:x val="0.93746687864334921"/>
              <c:y val="0.37757542993692988"/>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5891968"/>
        <c:crosses val="max"/>
        <c:crossBetween val="between"/>
        <c:majorUnit val="2"/>
      </c:valAx>
      <c:spPr>
        <a:solidFill>
          <a:srgbClr val="F79646">
            <a:lumMod val="20000"/>
            <a:lumOff val="80000"/>
          </a:srgbClr>
        </a:solidFill>
      </c:spPr>
    </c:plotArea>
    <c:legend>
      <c:legendPos val="b"/>
      <c:layout>
        <c:manualLayout>
          <c:xMode val="edge"/>
          <c:yMode val="edge"/>
          <c:x val="0.12951030041849804"/>
          <c:y val="0.812546464686838"/>
          <c:w val="0.64186418751507457"/>
          <c:h val="0.16714896678524321"/>
        </c:manualLayout>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ysClr val="window" lastClr="FFFFFF"/>
    </a:solidFill>
    <a:ln>
      <a:solidFill>
        <a:sysClr val="window" lastClr="FFFFFF"/>
      </a:solid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Times New Roman"/>
                <a:ea typeface="Times New Roman"/>
                <a:cs typeface="Times New Roman"/>
              </a:defRPr>
            </a:pPr>
            <a:r>
              <a:rPr lang="ru-RU"/>
              <a:t>Обеспеченность учреждениями образования, мест на 1000 детей соответствующего возраста</a:t>
            </a:r>
          </a:p>
        </c:rich>
      </c:tx>
      <c:layout>
        <c:manualLayout>
          <c:xMode val="edge"/>
          <c:yMode val="edge"/>
          <c:x val="0.14374934161897554"/>
          <c:y val="8.0321285140562242E-3"/>
        </c:manualLayout>
      </c:layout>
      <c:overlay val="0"/>
    </c:title>
    <c:autoTitleDeleted val="0"/>
    <c:plotArea>
      <c:layout/>
      <c:lineChart>
        <c:grouping val="standard"/>
        <c:varyColors val="0"/>
        <c:ser>
          <c:idx val="0"/>
          <c:order val="0"/>
          <c:tx>
            <c:strRef>
              <c:f>образ!$N$4</c:f>
              <c:strCache>
                <c:ptCount val="1"/>
                <c:pt idx="0">
                  <c:v>Общеобразовательными учреждениями</c:v>
                </c:pt>
              </c:strCache>
            </c:strRef>
          </c:tx>
          <c:dLbls>
            <c:dLbl>
              <c:idx val="0"/>
              <c:layout>
                <c:manualLayout>
                  <c:x val="-4.6859024578082886E-2"/>
                  <c:y val="7.730923694779116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962701331810755E-2"/>
                  <c:y val="4.91967871485942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45460822456298E-2"/>
                  <c:y val="5.32128514056224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729472896832246E-2"/>
                  <c:y val="6.12449799196786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563463504667228E-2"/>
                  <c:y val="5.72289156626505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3322622193305097E-2"/>
                  <c:y val="4.91967871485943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образ!$O$3:$T$3</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образ!$O$4:$T$4</c:f>
              <c:numCache>
                <c:formatCode>0</c:formatCode>
                <c:ptCount val="6"/>
                <c:pt idx="0">
                  <c:v>824</c:v>
                </c:pt>
                <c:pt idx="1">
                  <c:v>835</c:v>
                </c:pt>
                <c:pt idx="2">
                  <c:v>836</c:v>
                </c:pt>
                <c:pt idx="3">
                  <c:v>904</c:v>
                </c:pt>
                <c:pt idx="4">
                  <c:v>905</c:v>
                </c:pt>
                <c:pt idx="5">
                  <c:v>907</c:v>
                </c:pt>
              </c:numCache>
            </c:numRef>
          </c:val>
          <c:smooth val="0"/>
        </c:ser>
        <c:ser>
          <c:idx val="1"/>
          <c:order val="1"/>
          <c:tx>
            <c:strRef>
              <c:f>образ!$N$5</c:f>
              <c:strCache>
                <c:ptCount val="1"/>
                <c:pt idx="0">
                  <c:v>Учреждениями, оказывающими дошкольную образовательную услугу</c:v>
                </c:pt>
              </c:strCache>
            </c:strRef>
          </c:tx>
          <c:dLbls>
            <c:dLbl>
              <c:idx val="0"/>
              <c:layout>
                <c:manualLayout>
                  <c:x val="-5.0202670703261586E-2"/>
                  <c:y val="-7.26376371628245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847817715871518E-2"/>
                  <c:y val="-6.583277993865224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610570390336959E-2"/>
                  <c:y val="-9.13654618473895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767670061478403E-2"/>
                  <c:y val="-5.92369477911646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346726684459637E-2"/>
                  <c:y val="-6.72289156626506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образ!$O$3:$T$3</c:f>
              <c:strCache>
                <c:ptCount val="6"/>
                <c:pt idx="0">
                  <c:v>2017 год                     отчет</c:v>
                </c:pt>
                <c:pt idx="1">
                  <c:v>2018 год                          отчет</c:v>
                </c:pt>
                <c:pt idx="2">
                  <c:v>2019 год                           оценка</c:v>
                </c:pt>
                <c:pt idx="3">
                  <c:v>2020 год                                прогноз</c:v>
                </c:pt>
                <c:pt idx="4">
                  <c:v>2021 год                                       прогноз</c:v>
                </c:pt>
                <c:pt idx="5">
                  <c:v>2022 год прогноз</c:v>
                </c:pt>
              </c:strCache>
            </c:strRef>
          </c:cat>
          <c:val>
            <c:numRef>
              <c:f>образ!$O$5:$T$5</c:f>
              <c:numCache>
                <c:formatCode>0</c:formatCode>
                <c:ptCount val="6"/>
                <c:pt idx="0">
                  <c:v>816</c:v>
                </c:pt>
                <c:pt idx="1">
                  <c:v>857</c:v>
                </c:pt>
                <c:pt idx="2">
                  <c:v>884</c:v>
                </c:pt>
                <c:pt idx="3">
                  <c:v>971</c:v>
                </c:pt>
                <c:pt idx="4">
                  <c:v>1013</c:v>
                </c:pt>
                <c:pt idx="5">
                  <c:v>1008</c:v>
                </c:pt>
              </c:numCache>
            </c:numRef>
          </c:val>
          <c:smooth val="0"/>
        </c:ser>
        <c:dLbls>
          <c:showLegendKey val="0"/>
          <c:showVal val="1"/>
          <c:showCatName val="0"/>
          <c:showSerName val="0"/>
          <c:showPercent val="0"/>
          <c:showBubbleSize val="0"/>
        </c:dLbls>
        <c:marker val="1"/>
        <c:smooth val="0"/>
        <c:axId val="196281088"/>
        <c:axId val="196282624"/>
      </c:lineChart>
      <c:catAx>
        <c:axId val="1962810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282624"/>
        <c:crosses val="autoZero"/>
        <c:auto val="1"/>
        <c:lblAlgn val="ctr"/>
        <c:lblOffset val="100"/>
        <c:noMultiLvlLbl val="0"/>
      </c:catAx>
      <c:valAx>
        <c:axId val="196282624"/>
        <c:scaling>
          <c:orientation val="minMax"/>
          <c:min val="500"/>
        </c:scaling>
        <c:delete val="0"/>
        <c:axPos val="l"/>
        <c:numFmt formatCode="0.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281088"/>
        <c:crosses val="autoZero"/>
        <c:crossBetween val="between"/>
        <c:majorUnit val="100"/>
      </c:valAx>
    </c:plotArea>
    <c:legend>
      <c:legendPos val="b"/>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solidFill>
        <a:schemeClr val="bg1"/>
      </a:solid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Объекты физической культуры и спорта</a:t>
            </a:r>
          </a:p>
        </c:rich>
      </c:tx>
      <c:layout/>
      <c:overlay val="0"/>
    </c:title>
    <c:autoTitleDeleted val="0"/>
    <c:plotArea>
      <c:layout/>
      <c:barChart>
        <c:barDir val="col"/>
        <c:grouping val="clustered"/>
        <c:varyColors val="0"/>
        <c:ser>
          <c:idx val="0"/>
          <c:order val="0"/>
          <c:tx>
            <c:strRef>
              <c:f>'Спорт (2)'!$A$3</c:f>
              <c:strCache>
                <c:ptCount val="1"/>
                <c:pt idx="0">
                  <c:v>Спортивные объекты, единиц</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a:lstStyle/>
              <a:p>
                <a:pPr>
                  <a:defRPr sz="11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'Спорт (2)'!$C$2:$G$2</c:f>
              <c:strCache>
                <c:ptCount val="5"/>
                <c:pt idx="0">
                  <c:v>2018 год отчет</c:v>
                </c:pt>
                <c:pt idx="1">
                  <c:v>2019 год оценка</c:v>
                </c:pt>
                <c:pt idx="2">
                  <c:v>2020 год прогноз</c:v>
                </c:pt>
                <c:pt idx="3">
                  <c:v>2021 год прогноз</c:v>
                </c:pt>
                <c:pt idx="4">
                  <c:v>2022 год прогноз</c:v>
                </c:pt>
              </c:strCache>
            </c:strRef>
          </c:cat>
          <c:val>
            <c:numRef>
              <c:f>'Спорт (2)'!$C$3:$G$3</c:f>
              <c:numCache>
                <c:formatCode>General</c:formatCode>
                <c:ptCount val="5"/>
                <c:pt idx="0">
                  <c:v>140</c:v>
                </c:pt>
                <c:pt idx="1">
                  <c:v>152</c:v>
                </c:pt>
                <c:pt idx="2">
                  <c:v>158</c:v>
                </c:pt>
                <c:pt idx="3">
                  <c:v>161</c:v>
                </c:pt>
                <c:pt idx="4">
                  <c:v>162</c:v>
                </c:pt>
              </c:numCache>
            </c:numRef>
          </c:val>
        </c:ser>
        <c:dLbls>
          <c:showLegendKey val="0"/>
          <c:showVal val="1"/>
          <c:showCatName val="0"/>
          <c:showSerName val="0"/>
          <c:showPercent val="0"/>
          <c:showBubbleSize val="0"/>
        </c:dLbls>
        <c:gapWidth val="150"/>
        <c:axId val="196998656"/>
        <c:axId val="197000192"/>
      </c:barChart>
      <c:lineChart>
        <c:grouping val="standard"/>
        <c:varyColors val="0"/>
        <c:ser>
          <c:idx val="1"/>
          <c:order val="1"/>
          <c:tx>
            <c:strRef>
              <c:f>'Спорт (2)'!$A$4</c:f>
              <c:strCache>
                <c:ptCount val="1"/>
                <c:pt idx="0">
                  <c:v>Пропускная способность</c:v>
                </c:pt>
              </c:strCache>
            </c:strRef>
          </c:tx>
          <c:spPr>
            <a:ln w="25400" cap="flat" cmpd="sng" algn="ctr">
              <a:solidFill>
                <a:schemeClr val="accent2">
                  <a:shade val="50000"/>
                </a:schemeClr>
              </a:solidFill>
              <a:prstDash val="solid"/>
            </a:ln>
            <a:effectLst/>
          </c:spPr>
          <c:marker>
            <c:spPr>
              <a:solidFill>
                <a:schemeClr val="accent2"/>
              </a:solidFill>
              <a:ln w="25400" cap="flat" cmpd="sng" algn="ctr">
                <a:solidFill>
                  <a:schemeClr val="accent2">
                    <a:shade val="50000"/>
                  </a:schemeClr>
                </a:solidFill>
                <a:prstDash val="solid"/>
              </a:ln>
              <a:effectLst/>
            </c:spPr>
          </c:marker>
          <c:dLbls>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'Спорт (2)'!$C$2:$G$2</c:f>
              <c:strCache>
                <c:ptCount val="5"/>
                <c:pt idx="0">
                  <c:v>2018 год отчет</c:v>
                </c:pt>
                <c:pt idx="1">
                  <c:v>2019 год оценка</c:v>
                </c:pt>
                <c:pt idx="2">
                  <c:v>2020 год прогноз</c:v>
                </c:pt>
                <c:pt idx="3">
                  <c:v>2021 год прогноз</c:v>
                </c:pt>
                <c:pt idx="4">
                  <c:v>2022 год прогноз</c:v>
                </c:pt>
              </c:strCache>
            </c:strRef>
          </c:cat>
          <c:val>
            <c:numRef>
              <c:f>'Спорт (2)'!$C$4:$G$4</c:f>
              <c:numCache>
                <c:formatCode>General</c:formatCode>
                <c:ptCount val="5"/>
                <c:pt idx="0">
                  <c:v>2841</c:v>
                </c:pt>
                <c:pt idx="1">
                  <c:v>3034</c:v>
                </c:pt>
                <c:pt idx="2">
                  <c:v>3138</c:v>
                </c:pt>
                <c:pt idx="3">
                  <c:v>3188</c:v>
                </c:pt>
                <c:pt idx="4">
                  <c:v>3200</c:v>
                </c:pt>
              </c:numCache>
            </c:numRef>
          </c:val>
          <c:smooth val="0"/>
        </c:ser>
        <c:dLbls>
          <c:showLegendKey val="0"/>
          <c:showVal val="1"/>
          <c:showCatName val="0"/>
          <c:showSerName val="0"/>
          <c:showPercent val="0"/>
          <c:showBubbleSize val="0"/>
        </c:dLbls>
        <c:marker val="1"/>
        <c:smooth val="0"/>
        <c:axId val="196985600"/>
        <c:axId val="196988288"/>
      </c:lineChart>
      <c:catAx>
        <c:axId val="19698560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988288"/>
        <c:crosses val="autoZero"/>
        <c:auto val="1"/>
        <c:lblAlgn val="ctr"/>
        <c:lblOffset val="100"/>
        <c:noMultiLvlLbl val="0"/>
      </c:catAx>
      <c:valAx>
        <c:axId val="196988288"/>
        <c:scaling>
          <c:orientation val="minMax"/>
          <c:min val="1550"/>
        </c:scaling>
        <c:delete val="0"/>
        <c:axPos val="l"/>
        <c:title>
          <c:tx>
            <c:rich>
              <a:bodyPr rot="-5400000" vert="horz"/>
              <a:lstStyle/>
              <a:p>
                <a:pPr>
                  <a:defRPr/>
                </a:pPr>
                <a:r>
                  <a:rPr lang="ru-RU"/>
                  <a:t>Человек</a:t>
                </a:r>
              </a:p>
            </c:rich>
          </c:tx>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985600"/>
        <c:crosses val="autoZero"/>
        <c:crossBetween val="between"/>
      </c:valAx>
      <c:catAx>
        <c:axId val="196998656"/>
        <c:scaling>
          <c:orientation val="minMax"/>
        </c:scaling>
        <c:delete val="1"/>
        <c:axPos val="b"/>
        <c:numFmt formatCode="General" sourceLinked="1"/>
        <c:majorTickMark val="out"/>
        <c:minorTickMark val="none"/>
        <c:tickLblPos val="none"/>
        <c:crossAx val="197000192"/>
        <c:crosses val="autoZero"/>
        <c:auto val="1"/>
        <c:lblAlgn val="ctr"/>
        <c:lblOffset val="100"/>
        <c:noMultiLvlLbl val="0"/>
      </c:catAx>
      <c:valAx>
        <c:axId val="197000192"/>
        <c:scaling>
          <c:orientation val="minMax"/>
          <c:max val="200"/>
          <c:min val="0"/>
        </c:scaling>
        <c:delete val="0"/>
        <c:axPos val="r"/>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6998656"/>
        <c:crosses val="max"/>
        <c:crossBetween val="between"/>
      </c:valAx>
    </c:plotArea>
    <c:legend>
      <c:legendPos val="b"/>
      <c:layout>
        <c:manualLayout>
          <c:xMode val="edge"/>
          <c:yMode val="edge"/>
          <c:x val="0.11203438605944085"/>
          <c:y val="0.86449117910894069"/>
          <c:w val="0.7759309013278477"/>
          <c:h val="8.1454533373201868E-2"/>
        </c:manualLayout>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Структура поступления доходов в консолидированный бюджет Белоярского района в 2020 году</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Lbls>
            <c:dLbl>
              <c:idx val="2"/>
              <c:layout>
                <c:manualLayout>
                  <c:x val="-2.3557305336832896E-2"/>
                  <c:y val="4.4236657917760278E-3"/>
                </c:manualLayout>
              </c:layout>
              <c:dLblPos val="bestFit"/>
              <c:showLegendKey val="0"/>
              <c:showVal val="0"/>
              <c:showCatName val="1"/>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Лист1!$A$34:$A$36</c:f>
              <c:strCache>
                <c:ptCount val="3"/>
                <c:pt idx="0">
                  <c:v>Налоговые доходы</c:v>
                </c:pt>
                <c:pt idx="1">
                  <c:v>Неналоговые доходы</c:v>
                </c:pt>
                <c:pt idx="2">
                  <c:v>Безвозмездные поступления</c:v>
                </c:pt>
              </c:strCache>
            </c:strRef>
          </c:cat>
          <c:val>
            <c:numRef>
              <c:f>Лист1!$B$34:$B$36</c:f>
              <c:numCache>
                <c:formatCode>General</c:formatCode>
                <c:ptCount val="3"/>
                <c:pt idx="0">
                  <c:v>804.1</c:v>
                </c:pt>
                <c:pt idx="1">
                  <c:v>74.7</c:v>
                </c:pt>
                <c:pt idx="2">
                  <c:v>3458.9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ru-RU"/>
              <a:t>Структура промышленного производства на территории Белоярского района в оценке 2019 года  </a:t>
            </a:r>
          </a:p>
        </c:rich>
      </c:tx>
      <c:layout>
        <c:manualLayout>
          <c:xMode val="edge"/>
          <c:yMode val="edge"/>
          <c:x val="0.11940605098781258"/>
          <c:y val="2.4057358683823057E-3"/>
        </c:manualLayout>
      </c:layout>
      <c:overlay val="0"/>
      <c:spPr>
        <a:noFill/>
        <a:ln w="25400">
          <a:noFill/>
        </a:ln>
      </c:spPr>
    </c:title>
    <c:autoTitleDeleted val="0"/>
    <c:view3D>
      <c:rotX val="20"/>
      <c:rotY val="210"/>
      <c:rAngAx val="0"/>
      <c:perspective val="10"/>
    </c:view3D>
    <c:floor>
      <c:thickness val="0"/>
    </c:floor>
    <c:sideWall>
      <c:thickness val="0"/>
    </c:sideWall>
    <c:backWall>
      <c:thickness val="0"/>
    </c:backWall>
    <c:plotArea>
      <c:layout>
        <c:manualLayout>
          <c:layoutTarget val="inner"/>
          <c:xMode val="edge"/>
          <c:yMode val="edge"/>
          <c:x val="0.23074533952486709"/>
          <c:y val="0.25447296429336064"/>
          <c:w val="0.64085571034389932"/>
          <c:h val="0.53695902815773411"/>
        </c:manualLayout>
      </c:layout>
      <c:pie3DChart>
        <c:varyColors val="1"/>
        <c:ser>
          <c:idx val="1"/>
          <c:order val="0"/>
          <c:tx>
            <c:strRef>
              <c:f>диаграммы!$C$22</c:f>
              <c:strCache>
                <c:ptCount val="1"/>
                <c:pt idx="0">
                  <c:v>2019 год                                 оценка</c:v>
                </c:pt>
              </c:strCache>
            </c:strRef>
          </c:tx>
          <c:spPr>
            <a:solidFill>
              <a:srgbClr val="00CCFF"/>
            </a:solidFill>
            <a:ln w="12700">
              <a:solidFill>
                <a:srgbClr val="000000"/>
              </a:solidFill>
              <a:prstDash val="solid"/>
            </a:ln>
          </c:spPr>
          <c:explosion val="24"/>
          <c:dPt>
            <c:idx val="0"/>
            <c:bubble3D val="0"/>
            <c:spPr>
              <a:gradFill rotWithShape="0">
                <a:gsLst>
                  <a:gs pos="0">
                    <a:srgbClr val="0070C0"/>
                  </a:gs>
                  <a:gs pos="50000">
                    <a:schemeClr val="tx2">
                      <a:lumMod val="75000"/>
                    </a:schemeClr>
                  </a:gs>
                  <a:gs pos="100000">
                    <a:srgbClr val="0070C0"/>
                  </a:gs>
                </a:gsLst>
                <a:lin ang="2700000" scaled="1"/>
              </a:gra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1-8B02-465D-8CC6-91B92659CA5A}"/>
              </c:ext>
            </c:extLst>
          </c:dPt>
          <c:dPt>
            <c:idx val="1"/>
            <c:bubble3D val="0"/>
            <c:spPr>
              <a:gradFill rotWithShape="0">
                <a:gsLst>
                  <a:gs pos="0">
                    <a:srgbClr val="DF8745"/>
                  </a:gs>
                  <a:gs pos="100000">
                    <a:srgbClr val="DB8149"/>
                  </a:gs>
                </a:gsLst>
                <a:path path="rect">
                  <a:fillToRect l="100000" b="100000"/>
                </a:path>
              </a:gra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3-8B02-465D-8CC6-91B92659CA5A}"/>
              </c:ext>
            </c:extLst>
          </c:dPt>
          <c:dPt>
            <c:idx val="2"/>
            <c:bubble3D val="0"/>
            <c:spPr>
              <a:gradFill rotWithShape="0">
                <a:gsLst>
                  <a:gs pos="0">
                    <a:srgbClr val="00B050"/>
                  </a:gs>
                  <a:gs pos="100000">
                    <a:srgbClr val="00B050"/>
                  </a:gs>
                </a:gsLst>
                <a:path path="rect">
                  <a:fillToRect l="100000" t="100000"/>
                </a:path>
              </a:gra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5-8B02-465D-8CC6-91B92659CA5A}"/>
              </c:ext>
            </c:extLst>
          </c:dPt>
          <c:dPt>
            <c:idx val="3"/>
            <c:bubble3D val="0"/>
            <c:spPr>
              <a:gradFill>
                <a:gsLst>
                  <a:gs pos="5834">
                    <a:schemeClr val="accent2">
                      <a:lumMod val="75000"/>
                    </a:schemeClr>
                  </a:gs>
                  <a:gs pos="66300">
                    <a:srgbClr val="C00000"/>
                  </a:gs>
                  <a:gs pos="0">
                    <a:schemeClr val="accent2">
                      <a:lumMod val="75000"/>
                    </a:schemeClr>
                  </a:gs>
                  <a:gs pos="100000">
                    <a:srgbClr val="C00000"/>
                  </a:gs>
                </a:gsLst>
                <a:path path="rect">
                  <a:fillToRect l="100000" t="100000"/>
                </a:path>
              </a:gradFill>
              <a:ln w="12700">
                <a:solidFill>
                  <a:srgbClr val="000000"/>
                </a:solidFill>
                <a:prstDash val="solid"/>
              </a:ln>
            </c:spPr>
            <c:extLst xmlns:c16r2="http://schemas.microsoft.com/office/drawing/2015/06/chart">
              <c:ext xmlns:c16="http://schemas.microsoft.com/office/drawing/2014/chart" uri="{C3380CC4-5D6E-409C-BE32-E72D297353CC}">
                <c16:uniqueId val="{00000007-8B02-465D-8CC6-91B92659CA5A}"/>
              </c:ext>
            </c:extLst>
          </c:dPt>
          <c:dLbls>
            <c:dLbl>
              <c:idx val="0"/>
              <c:layout>
                <c:manualLayout>
                  <c:x val="9.1738346660155859E-2"/>
                  <c:y val="-8.5856219192113337E-3"/>
                </c:manualLayout>
              </c:layout>
              <c:tx>
                <c:rich>
                  <a:bodyPr/>
                  <a:lstStyle/>
                  <a:p>
                    <a:pPr>
                      <a:defRPr sz="975" b="0" i="0" u="none" strike="noStrike" baseline="0">
                        <a:solidFill>
                          <a:srgbClr val="000000"/>
                        </a:solidFill>
                        <a:latin typeface="Arial Cyr"/>
                        <a:ea typeface="Arial Cyr"/>
                        <a:cs typeface="Arial Cyr"/>
                      </a:defRPr>
                    </a:pPr>
                    <a:r>
                      <a:rPr lang="ru-RU" sz="1050" b="0" i="0" u="none" strike="noStrike" baseline="0">
                        <a:solidFill>
                          <a:srgbClr val="000000"/>
                        </a:solidFill>
                        <a:latin typeface="Times New Roman"/>
                        <a:cs typeface="Times New Roman"/>
                      </a:rPr>
                      <a:t>Добыча полезных ископаемых</a:t>
                    </a:r>
                  </a:p>
                  <a:p>
                    <a:pPr>
                      <a:defRPr sz="975"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96,0%</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B02-465D-8CC6-91B92659CA5A}"/>
                </c:ext>
              </c:extLst>
            </c:dLbl>
            <c:dLbl>
              <c:idx val="1"/>
              <c:layout>
                <c:manualLayout>
                  <c:x val="0.24261783556125252"/>
                  <c:y val="0.10825094424172588"/>
                </c:manualLayout>
              </c:layout>
              <c:tx>
                <c:rich>
                  <a:bodyPr/>
                  <a:lstStyle/>
                  <a:p>
                    <a:pPr>
                      <a:defRPr sz="975" b="0" i="0" u="none" strike="noStrike" baseline="0">
                        <a:solidFill>
                          <a:srgbClr val="000000"/>
                        </a:solidFill>
                        <a:latin typeface="Arial Cyr"/>
                        <a:ea typeface="Arial Cyr"/>
                        <a:cs typeface="Arial Cyr"/>
                      </a:defRPr>
                    </a:pPr>
                    <a:r>
                      <a:rPr lang="ru-RU" sz="1050" b="0" i="0" u="none" strike="noStrike" baseline="0">
                        <a:solidFill>
                          <a:srgbClr val="000000"/>
                        </a:solidFill>
                        <a:latin typeface="Times New Roman"/>
                        <a:cs typeface="Times New Roman"/>
                      </a:rPr>
                      <a:t>Обрабатывающие производства</a:t>
                    </a:r>
                  </a:p>
                  <a:p>
                    <a:pPr>
                      <a:defRPr sz="975"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1,9%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B02-465D-8CC6-91B92659CA5A}"/>
                </c:ext>
              </c:extLst>
            </c:dLbl>
            <c:dLbl>
              <c:idx val="2"/>
              <c:layout>
                <c:manualLayout>
                  <c:x val="-5.2288510447821908E-2"/>
                  <c:y val="3.5772357723577237E-2"/>
                </c:manualLayout>
              </c:layout>
              <c:tx>
                <c:rich>
                  <a:bodyPr/>
                  <a:lstStyle/>
                  <a:p>
                    <a:pPr>
                      <a:defRPr sz="975" b="0" i="0" u="none" strike="noStrike" baseline="0">
                        <a:solidFill>
                          <a:srgbClr val="000000"/>
                        </a:solidFill>
                        <a:latin typeface="Arial Cyr"/>
                        <a:ea typeface="Arial Cyr"/>
                        <a:cs typeface="Arial Cyr"/>
                      </a:defRPr>
                    </a:pPr>
                    <a:r>
                      <a:rPr lang="ru-RU" sz="1050" b="0" i="0" u="none" strike="noStrike" baseline="0">
                        <a:solidFill>
                          <a:srgbClr val="000000"/>
                        </a:solidFill>
                        <a:latin typeface="Times New Roman"/>
                        <a:cs typeface="Times New Roman"/>
                      </a:rPr>
                      <a:t>Обеспечение электрической энергией, газом и паром; </a:t>
                    </a:r>
                    <a:r>
                      <a:rPr lang="ru-RU" sz="950" b="0" i="0" u="none" strike="noStrike" baseline="0">
                        <a:solidFill>
                          <a:srgbClr val="000000"/>
                        </a:solidFill>
                        <a:latin typeface="Times New Roman"/>
                        <a:cs typeface="Times New Roman"/>
                      </a:rPr>
                      <a:t>кондиционирование</a:t>
                    </a:r>
                    <a:r>
                      <a:rPr lang="ru-RU" sz="1050" b="0" i="0" u="none" strike="noStrike" baseline="0">
                        <a:solidFill>
                          <a:srgbClr val="000000"/>
                        </a:solidFill>
                        <a:latin typeface="Times New Roman"/>
                        <a:cs typeface="Times New Roman"/>
                      </a:rPr>
                      <a:t> воздуха   </a:t>
                    </a:r>
                  </a:p>
                  <a:p>
                    <a:pPr>
                      <a:defRPr sz="975"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1,8%</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B02-465D-8CC6-91B92659CA5A}"/>
                </c:ext>
              </c:extLst>
            </c:dLbl>
            <c:dLbl>
              <c:idx val="3"/>
              <c:layout>
                <c:manualLayout>
                  <c:x val="-0.16051685846961439"/>
                  <c:y val="-0.37361181816019223"/>
                </c:manualLayout>
              </c:layout>
              <c:tx>
                <c:rich>
                  <a:bodyPr/>
                  <a:lstStyle/>
                  <a:p>
                    <a:pPr>
                      <a:defRPr sz="975" b="0" i="0" u="none" strike="noStrike" baseline="0">
                        <a:solidFill>
                          <a:srgbClr val="000000"/>
                        </a:solidFill>
                        <a:latin typeface="Arial Cyr"/>
                        <a:ea typeface="Arial Cyr"/>
                        <a:cs typeface="Arial Cyr"/>
                      </a:defRPr>
                    </a:pPr>
                    <a:r>
                      <a:rPr lang="ru-RU" sz="1100" b="0" i="0" u="none" strike="noStrike" baseline="0">
                        <a:solidFill>
                          <a:srgbClr val="000000"/>
                        </a:solidFill>
                        <a:latin typeface="Times New Roman"/>
                        <a:cs typeface="Times New Roman"/>
                      </a:rPr>
                      <a:t>Водоснабжение; водоотведение, организация сбора и утилизации отходов, деятельность по ликвидации загрязнений  </a:t>
                    </a:r>
                    <a:endParaRPr lang="ru-RU" sz="1050" b="0" i="0" u="none" strike="noStrike" baseline="0">
                      <a:solidFill>
                        <a:srgbClr val="000000"/>
                      </a:solidFill>
                      <a:latin typeface="Times New Roman"/>
                      <a:cs typeface="Times New Roman"/>
                    </a:endParaRPr>
                  </a:p>
                  <a:p>
                    <a:pPr>
                      <a:defRPr sz="975" b="0" i="0" u="none" strike="noStrike" baseline="0">
                        <a:solidFill>
                          <a:srgbClr val="000000"/>
                        </a:solidFill>
                        <a:latin typeface="Arial Cyr"/>
                        <a:ea typeface="Arial Cyr"/>
                        <a:cs typeface="Arial Cyr"/>
                      </a:defRPr>
                    </a:pPr>
                    <a:r>
                      <a:rPr lang="ru-RU" sz="1050" b="1" i="0" u="none" strike="noStrike" baseline="0">
                        <a:solidFill>
                          <a:srgbClr val="000000"/>
                        </a:solidFill>
                        <a:latin typeface="Times New Roman"/>
                        <a:cs typeface="Times New Roman"/>
                      </a:rPr>
                      <a:t>0,3%</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B02-465D-8CC6-91B92659CA5A}"/>
                </c:ext>
              </c:extLst>
            </c:dLbl>
            <c:numFmt formatCode="0.0%" sourceLinked="0"/>
            <c:spPr>
              <a:noFill/>
              <a:ln>
                <a:noFill/>
              </a:ln>
              <a:effectLst/>
            </c:spPr>
            <c:txPr>
              <a:bodyPr/>
              <a:lstStyle/>
              <a:p>
                <a:pPr>
                  <a:defRPr sz="105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диаграммы!$A$23:$A$26</c:f>
              <c:strCache>
                <c:ptCount val="4"/>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  </c:v>
                </c:pt>
              </c:strCache>
            </c:strRef>
          </c:cat>
          <c:val>
            <c:numRef>
              <c:f>диаграммы!$C$23:$C$26</c:f>
              <c:numCache>
                <c:formatCode>#,##0.000</c:formatCode>
                <c:ptCount val="4"/>
                <c:pt idx="0">
                  <c:v>55934.242399999996</c:v>
                </c:pt>
                <c:pt idx="1">
                  <c:v>1108.4396666757286</c:v>
                </c:pt>
                <c:pt idx="2">
                  <c:v>1072.122251</c:v>
                </c:pt>
                <c:pt idx="3">
                  <c:v>149.22200000000001</c:v>
                </c:pt>
              </c:numCache>
            </c:numRef>
          </c:val>
          <c:extLst xmlns:c16r2="http://schemas.microsoft.com/office/drawing/2015/06/chart">
            <c:ext xmlns:c16="http://schemas.microsoft.com/office/drawing/2014/chart" uri="{C3380CC4-5D6E-409C-BE32-E72D297353CC}">
              <c16:uniqueId val="{00000008-8B02-465D-8CC6-91B92659CA5A}"/>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12700">
      <a:solidFill>
        <a:srgbClr val="FFFFFF"/>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Структура обрабатывающего производства на территории Белоярского района в оценке 2019 года</a:t>
            </a:r>
          </a:p>
        </c:rich>
      </c:tx>
      <c:layout>
        <c:manualLayout>
          <c:xMode val="edge"/>
          <c:yMode val="edge"/>
          <c:x val="0.18176277965254342"/>
          <c:y val="2.4840472922536059E-3"/>
        </c:manualLayout>
      </c:layout>
      <c:overlay val="0"/>
      <c:spPr>
        <a:noFill/>
        <a:ln w="25400">
          <a:noFill/>
        </a:ln>
      </c:spPr>
    </c:title>
    <c:autoTitleDeleted val="0"/>
    <c:view3D>
      <c:rotX val="20"/>
      <c:rotY val="150"/>
      <c:rAngAx val="0"/>
      <c:perspective val="10"/>
    </c:view3D>
    <c:floor>
      <c:thickness val="0"/>
    </c:floor>
    <c:sideWall>
      <c:thickness val="0"/>
    </c:sideWall>
    <c:backWall>
      <c:thickness val="0"/>
    </c:backWall>
    <c:plotArea>
      <c:layout>
        <c:manualLayout>
          <c:layoutTarget val="inner"/>
          <c:xMode val="edge"/>
          <c:yMode val="edge"/>
          <c:x val="0.19534490880947575"/>
          <c:y val="0.15634187319505419"/>
          <c:w val="0.62424708930614448"/>
          <c:h val="0.52086540029953887"/>
        </c:manualLayout>
      </c:layout>
      <c:pie3DChart>
        <c:varyColors val="1"/>
        <c:ser>
          <c:idx val="0"/>
          <c:order val="0"/>
          <c:tx>
            <c:strRef>
              <c:f>диаграммы!$B$61</c:f>
              <c:strCache>
                <c:ptCount val="1"/>
                <c:pt idx="0">
                  <c:v>2018 год оценка</c:v>
                </c:pt>
              </c:strCache>
            </c:strRef>
          </c:tx>
          <c:spPr>
            <a:solidFill>
              <a:srgbClr val="9999FF"/>
            </a:solidFill>
            <a:ln w="12700">
              <a:solidFill>
                <a:srgbClr val="000000"/>
              </a:solidFill>
              <a:prstDash val="solid"/>
            </a:ln>
          </c:spPr>
          <c:explosion val="24"/>
          <c:dPt>
            <c:idx val="0"/>
            <c:bubble3D val="0"/>
            <c:spPr>
              <a:gradFill rotWithShape="0">
                <a:gsLst>
                  <a:gs pos="0">
                    <a:srgbClr val="7030A0"/>
                  </a:gs>
                  <a:gs pos="50000">
                    <a:srgbClr val="7030A0"/>
                  </a:gs>
                  <a:gs pos="100000">
                    <a:srgbClr val="E6A4E1"/>
                  </a:gs>
                </a:gsLst>
                <a:lin ang="18900000" scaled="1"/>
              </a:gra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1-6D01-40C9-86A5-D64B5183E737}"/>
              </c:ext>
            </c:extLst>
          </c:dPt>
          <c:dPt>
            <c:idx val="1"/>
            <c:bubble3D val="0"/>
            <c:spPr>
              <a:gradFill rotWithShape="0">
                <a:gsLst>
                  <a:gs pos="0">
                    <a:srgbClr val="FF0000"/>
                  </a:gs>
                  <a:gs pos="50000">
                    <a:srgbClr val="FF0000"/>
                  </a:gs>
                  <a:gs pos="100000">
                    <a:srgbClr val="FF0000"/>
                  </a:gs>
                </a:gsLst>
                <a:lin ang="5400000" scaled="1"/>
              </a:gra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3-6D01-40C9-86A5-D64B5183E737}"/>
              </c:ext>
            </c:extLst>
          </c:dPt>
          <c:dPt>
            <c:idx val="2"/>
            <c:bubble3D val="0"/>
            <c:explosion val="26"/>
            <c:spPr>
              <a:gradFill rotWithShape="0">
                <a:gsLst>
                  <a:gs pos="0">
                    <a:srgbClr val="0070C0"/>
                  </a:gs>
                  <a:gs pos="100000">
                    <a:srgbClr val="0070C0"/>
                  </a:gs>
                  <a:gs pos="100000">
                    <a:schemeClr val="bg1">
                      <a:lumMod val="85000"/>
                    </a:schemeClr>
                  </a:gs>
                </a:gsLst>
                <a:lin ang="5400000" scaled="1"/>
              </a:gra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5-6D01-40C9-86A5-D64B5183E737}"/>
              </c:ext>
            </c:extLst>
          </c:dPt>
          <c:dPt>
            <c:idx val="3"/>
            <c:bubble3D val="0"/>
            <c:spPr>
              <a:solidFill>
                <a:schemeClr val="accent6">
                  <a:lumMod val="75000"/>
                </a:schemeClr>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7-6D01-40C9-86A5-D64B5183E737}"/>
              </c:ext>
            </c:extLst>
          </c:dPt>
          <c:dPt>
            <c:idx val="4"/>
            <c:bubble3D val="0"/>
            <c:spPr>
              <a:solidFill>
                <a:srgbClr val="00B050"/>
              </a:solidFill>
              <a:ln w="12700">
                <a:solidFill>
                  <a:srgbClr val="000000"/>
                </a:solidFill>
                <a:prstDash val="solid"/>
              </a:ln>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9-6D01-40C9-86A5-D64B5183E737}"/>
              </c:ext>
            </c:extLst>
          </c:dPt>
          <c:dLbls>
            <c:dLbl>
              <c:idx val="0"/>
              <c:layout>
                <c:manualLayout>
                  <c:x val="5.7873599133441651E-2"/>
                  <c:y val="8.3864287606251059E-2"/>
                </c:manualLayout>
              </c:layout>
              <c:tx>
                <c:rich>
                  <a:bodyPr/>
                  <a:lstStyle/>
                  <a:p>
                    <a:pPr>
                      <a:defRPr sz="1050" b="0" i="0" u="none" strike="noStrike" baseline="0">
                        <a:solidFill>
                          <a:srgbClr val="000000"/>
                        </a:solidFill>
                        <a:latin typeface="Arial Cyr"/>
                        <a:ea typeface="Arial Cyr"/>
                        <a:cs typeface="Arial Cyr"/>
                      </a:defRPr>
                    </a:pPr>
                    <a:r>
                      <a:rPr lang="ru-RU" sz="1100" b="0" i="0" u="none" strike="noStrike" baseline="0">
                        <a:solidFill>
                          <a:srgbClr val="000000"/>
                        </a:solidFill>
                        <a:latin typeface="Times New Roman"/>
                        <a:cs typeface="Times New Roman"/>
                      </a:rPr>
                      <a:t>Производство пищевых продуктов</a:t>
                    </a:r>
                  </a:p>
                  <a:p>
                    <a:pPr>
                      <a:defRPr sz="105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8,7%</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D01-40C9-86A5-D64B5183E737}"/>
                </c:ext>
              </c:extLst>
            </c:dLbl>
            <c:dLbl>
              <c:idx val="1"/>
              <c:layout>
                <c:manualLayout>
                  <c:x val="8.6456019920586845E-3"/>
                  <c:y val="3.3680917004018568E-2"/>
                </c:manualLayout>
              </c:layout>
              <c:tx>
                <c:rich>
                  <a:bodyPr/>
                  <a:lstStyle/>
                  <a:p>
                    <a:pPr>
                      <a:defRPr sz="1050" b="0" i="0" u="none" strike="noStrike" baseline="0">
                        <a:solidFill>
                          <a:srgbClr val="000000"/>
                        </a:solidFill>
                        <a:latin typeface="Arial Cyr"/>
                        <a:ea typeface="Arial Cyr"/>
                        <a:cs typeface="Arial Cyr"/>
                      </a:defRPr>
                    </a:pPr>
                    <a:r>
                      <a:rPr lang="ru-RU" sz="1100" b="0" i="0" u="none" strike="noStrike" baseline="0">
                        <a:solidFill>
                          <a:srgbClr val="000000"/>
                        </a:solidFill>
                        <a:latin typeface="Times New Roman"/>
                        <a:cs typeface="Times New Roman"/>
                      </a:rPr>
                      <a:t>Деятельность полиграфическая и копирование носителей информации</a:t>
                    </a:r>
                  </a:p>
                  <a:p>
                    <a:pPr>
                      <a:defRPr sz="105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0,3%</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D01-40C9-86A5-D64B5183E737}"/>
                </c:ext>
              </c:extLst>
            </c:dLbl>
            <c:dLbl>
              <c:idx val="2"/>
              <c:layout>
                <c:manualLayout>
                  <c:x val="-0.29767962338041076"/>
                  <c:y val="-3.0453418093380528E-2"/>
                </c:manualLayout>
              </c:layout>
              <c:tx>
                <c:rich>
                  <a:bodyPr/>
                  <a:lstStyle/>
                  <a:p>
                    <a:pPr>
                      <a:defRPr sz="1050" b="0" i="0" u="none" strike="noStrike" baseline="0">
                        <a:solidFill>
                          <a:srgbClr val="000000"/>
                        </a:solidFill>
                        <a:latin typeface="Arial Cyr"/>
                        <a:ea typeface="Arial Cyr"/>
                        <a:cs typeface="Arial Cyr"/>
                      </a:defRPr>
                    </a:pPr>
                    <a:r>
                      <a:rPr lang="ru-RU" sz="1100" b="0" i="0" u="none" strike="noStrike" baseline="0">
                        <a:solidFill>
                          <a:srgbClr val="000000"/>
                        </a:solidFill>
                        <a:latin typeface="Times New Roman"/>
                        <a:cs typeface="Times New Roman"/>
                      </a:rPr>
                      <a:t>Производство прочей неметаллической минеральной продукции</a:t>
                    </a:r>
                  </a:p>
                  <a:p>
                    <a:pPr>
                      <a:defRPr sz="105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0,3%</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D01-40C9-86A5-D64B5183E737}"/>
                </c:ext>
              </c:extLst>
            </c:dLbl>
            <c:dLbl>
              <c:idx val="3"/>
              <c:layout>
                <c:manualLayout>
                  <c:x val="-0.21209384884581736"/>
                  <c:y val="0.1618316354523481"/>
                </c:manualLayout>
              </c:layout>
              <c:tx>
                <c:rich>
                  <a:bodyPr/>
                  <a:lstStyle/>
                  <a:p>
                    <a:pPr>
                      <a:defRPr sz="1050" b="0" i="0" u="none" strike="noStrike" baseline="0">
                        <a:solidFill>
                          <a:srgbClr val="000000"/>
                        </a:solidFill>
                        <a:latin typeface="Arial Cyr"/>
                        <a:ea typeface="Arial Cyr"/>
                        <a:cs typeface="Arial Cyr"/>
                      </a:defRPr>
                    </a:pPr>
                    <a:r>
                      <a:rPr lang="ru-RU" sz="1100" b="0" i="0" u="none" strike="noStrike" baseline="0">
                        <a:solidFill>
                          <a:srgbClr val="000000"/>
                        </a:solidFill>
                        <a:latin typeface="Times New Roman"/>
                        <a:cs typeface="Times New Roman"/>
                      </a:rPr>
                      <a:t>Ремонт и монтаж машин и оборудования</a:t>
                    </a:r>
                  </a:p>
                  <a:p>
                    <a:pPr>
                      <a:defRPr sz="105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90,6%</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D01-40C9-86A5-D64B5183E737}"/>
                </c:ext>
              </c:extLst>
            </c:dLbl>
            <c:dLbl>
              <c:idx val="4"/>
              <c:layout>
                <c:manualLayout>
                  <c:x val="9.0647835687205761E-2"/>
                  <c:y val="-2.8712465987623108E-2"/>
                </c:manualLayout>
              </c:layout>
              <c:tx>
                <c:rich>
                  <a:bodyPr/>
                  <a:lstStyle/>
                  <a:p>
                    <a:pPr>
                      <a:defRPr sz="1050" b="0" i="0" u="none" strike="noStrike" baseline="0">
                        <a:solidFill>
                          <a:srgbClr val="000000"/>
                        </a:solidFill>
                        <a:latin typeface="Arial Cyr"/>
                        <a:ea typeface="Arial Cyr"/>
                        <a:cs typeface="Arial Cyr"/>
                      </a:defRPr>
                    </a:pPr>
                    <a:r>
                      <a:rPr lang="ru-RU" sz="1100" b="0" i="0" u="none" strike="noStrike" baseline="0">
                        <a:solidFill>
                          <a:srgbClr val="000000"/>
                        </a:solidFill>
                        <a:latin typeface="Times New Roman"/>
                        <a:cs typeface="Times New Roman"/>
                      </a:rPr>
                      <a:t>Прочие производства</a:t>
                    </a:r>
                  </a:p>
                  <a:p>
                    <a:pPr>
                      <a:defRPr sz="1050" b="0" i="0" u="none" strike="noStrike" baseline="0">
                        <a:solidFill>
                          <a:srgbClr val="000000"/>
                        </a:solidFill>
                        <a:latin typeface="Arial Cyr"/>
                        <a:ea typeface="Arial Cyr"/>
                        <a:cs typeface="Arial Cyr"/>
                      </a:defRPr>
                    </a:pPr>
                    <a:r>
                      <a:rPr lang="ru-RU" sz="1100" b="1" i="0" u="none" strike="noStrike" baseline="0">
                        <a:solidFill>
                          <a:srgbClr val="000000"/>
                        </a:solidFill>
                        <a:latin typeface="Times New Roman"/>
                        <a:cs typeface="Times New Roman"/>
                      </a:rPr>
                      <a:t>0,1%</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6D01-40C9-86A5-D64B5183E737}"/>
                </c:ext>
              </c:extLst>
            </c:dLbl>
            <c:numFmt formatCode="0.0%" sourceLinked="0"/>
            <c:spPr>
              <a:noFill/>
              <a:ln>
                <a:noFill/>
              </a:ln>
              <a:effectLst/>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диаграммы!$A$62:$A$66</c:f>
              <c:strCache>
                <c:ptCount val="5"/>
                <c:pt idx="0">
                  <c:v>Производство пищевых продуктов</c:v>
                </c:pt>
                <c:pt idx="1">
                  <c:v>Деятельность полиграфическая и копирование носителей информации</c:v>
                </c:pt>
                <c:pt idx="2">
                  <c:v>Производство прочей неметаллической минеральной продукции</c:v>
                </c:pt>
                <c:pt idx="3">
                  <c:v>Ремонт и монтаж машин и оборудования</c:v>
                </c:pt>
                <c:pt idx="4">
                  <c:v>Прочие производства</c:v>
                </c:pt>
              </c:strCache>
            </c:strRef>
          </c:cat>
          <c:val>
            <c:numRef>
              <c:f>диаграммы!$B$62:$B$66</c:f>
              <c:numCache>
                <c:formatCode>#,##0.000</c:formatCode>
                <c:ptCount val="5"/>
                <c:pt idx="0">
                  <c:v>97.760776390200007</c:v>
                </c:pt>
                <c:pt idx="1">
                  <c:v>3.0769347199500001</c:v>
                </c:pt>
                <c:pt idx="2">
                  <c:v>3.6945652826880004</c:v>
                </c:pt>
                <c:pt idx="3">
                  <c:v>1004.3503800000001</c:v>
                </c:pt>
                <c:pt idx="4">
                  <c:v>0.22855757757299999</c:v>
                </c:pt>
              </c:numCache>
            </c:numRef>
          </c:val>
          <c:extLst xmlns:c16r2="http://schemas.microsoft.com/office/drawing/2015/06/chart">
            <c:ext xmlns:c16="http://schemas.microsoft.com/office/drawing/2014/chart" uri="{C3380CC4-5D6E-409C-BE32-E72D297353CC}">
              <c16:uniqueId val="{0000000A-6D01-40C9-86A5-D64B5183E737}"/>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12700">
      <a:solidFill>
        <a:srgbClr val="FFFFFF"/>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Объем инвестиций</a:t>
            </a:r>
            <a:r>
              <a:rPr lang="ru-RU" sz="1200" baseline="0">
                <a:latin typeface="Times New Roman" pitchFamily="18" charset="0"/>
                <a:cs typeface="Times New Roman" pitchFamily="18" charset="0"/>
              </a:rPr>
              <a:t> в основной капитал, млн. руб.</a:t>
            </a:r>
            <a:endParaRPr lang="ru-RU" sz="1200">
              <a:latin typeface="Times New Roman" pitchFamily="18" charset="0"/>
              <a:cs typeface="Times New Roman" pitchFamily="18" charset="0"/>
            </a:endParaRPr>
          </a:p>
        </c:rich>
      </c:tx>
      <c:layout/>
      <c:overlay val="0"/>
      <c:spPr>
        <a:noFill/>
        <a:ln>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инвестиции</c:v>
                </c:pt>
              </c:strCache>
            </c:strRef>
          </c:tx>
          <c:invertIfNegative val="0"/>
          <c:dLbls>
            <c:dLbl>
              <c:idx val="0"/>
              <c:layout>
                <c:manualLayout>
                  <c:x val="7.4515648286140089E-3"/>
                  <c:y val="-1.8518518518518517E-2"/>
                </c:manualLayout>
              </c:layout>
              <c:showLegendKey val="0"/>
              <c:showVal val="1"/>
              <c:showCatName val="0"/>
              <c:showSerName val="0"/>
              <c:showPercent val="0"/>
              <c:showBubbleSize val="0"/>
            </c:dLbl>
            <c:dLbl>
              <c:idx val="1"/>
              <c:layout>
                <c:manualLayout>
                  <c:x val="2.9806259314456036E-2"/>
                  <c:y val="-3.7037037037037035E-2"/>
                </c:manualLayout>
              </c:layout>
              <c:showLegendKey val="0"/>
              <c:showVal val="1"/>
              <c:showCatName val="0"/>
              <c:showSerName val="0"/>
              <c:showPercent val="0"/>
              <c:showBubbleSize val="0"/>
            </c:dLbl>
            <c:dLbl>
              <c:idx val="2"/>
              <c:layout>
                <c:manualLayout>
                  <c:x val="2.9806259314456036E-2"/>
                  <c:y val="-1.8518518518518517E-2"/>
                </c:manualLayout>
              </c:layout>
              <c:showLegendKey val="0"/>
              <c:showVal val="1"/>
              <c:showCatName val="0"/>
              <c:showSerName val="0"/>
              <c:showPercent val="0"/>
              <c:showBubbleSize val="0"/>
            </c:dLbl>
            <c:dLbl>
              <c:idx val="3"/>
              <c:layout>
                <c:manualLayout>
                  <c:x val="3.2290114257327369E-2"/>
                  <c:y val="-2.7777777777777776E-2"/>
                </c:manualLayout>
              </c:layout>
              <c:showLegendKey val="0"/>
              <c:showVal val="1"/>
              <c:showCatName val="0"/>
              <c:showSerName val="0"/>
              <c:showPercent val="0"/>
              <c:showBubbleSize val="0"/>
            </c:dLbl>
            <c:dLbl>
              <c:idx val="4"/>
              <c:layout>
                <c:manualLayout>
                  <c:x val="3.4773969200198707E-2"/>
                  <c:y val="-3.7037037037037035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Лист1!$B$2:$F$2</c:f>
              <c:strCache>
                <c:ptCount val="5"/>
                <c:pt idx="0">
                  <c:v>2018 год</c:v>
                </c:pt>
                <c:pt idx="1">
                  <c:v>2019 год оценка</c:v>
                </c:pt>
                <c:pt idx="2">
                  <c:v>2020 год прогноз</c:v>
                </c:pt>
                <c:pt idx="3">
                  <c:v>2021 год прогноз</c:v>
                </c:pt>
                <c:pt idx="4">
                  <c:v>2022 год прогноз</c:v>
                </c:pt>
              </c:strCache>
            </c:strRef>
          </c:cat>
          <c:val>
            <c:numRef>
              <c:f>Лист1!$B$3:$F$3</c:f>
              <c:numCache>
                <c:formatCode>#,##0_р_.</c:formatCode>
                <c:ptCount val="5"/>
                <c:pt idx="0">
                  <c:v>16540.221999999998</c:v>
                </c:pt>
                <c:pt idx="1">
                  <c:v>16968.307000000001</c:v>
                </c:pt>
                <c:pt idx="2">
                  <c:v>19731.329999999998</c:v>
                </c:pt>
                <c:pt idx="3">
                  <c:v>21277.22</c:v>
                </c:pt>
                <c:pt idx="4">
                  <c:v>19290.874000000003</c:v>
                </c:pt>
              </c:numCache>
            </c:numRef>
          </c:val>
        </c:ser>
        <c:dLbls>
          <c:showLegendKey val="0"/>
          <c:showVal val="0"/>
          <c:showCatName val="0"/>
          <c:showSerName val="0"/>
          <c:showPercent val="0"/>
          <c:showBubbleSize val="0"/>
        </c:dLbls>
        <c:gapWidth val="150"/>
        <c:shape val="box"/>
        <c:axId val="178158208"/>
        <c:axId val="178663808"/>
        <c:axId val="0"/>
      </c:bar3DChart>
      <c:catAx>
        <c:axId val="17815820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78663808"/>
        <c:crosses val="autoZero"/>
        <c:auto val="1"/>
        <c:lblAlgn val="ctr"/>
        <c:lblOffset val="100"/>
        <c:noMultiLvlLbl val="0"/>
      </c:catAx>
      <c:valAx>
        <c:axId val="178663808"/>
        <c:scaling>
          <c:orientation val="minMax"/>
        </c:scaling>
        <c:delete val="1"/>
        <c:axPos val="l"/>
        <c:numFmt formatCode="#,##0_р_." sourceLinked="1"/>
        <c:majorTickMark val="out"/>
        <c:minorTickMark val="none"/>
        <c:tickLblPos val="nextTo"/>
        <c:crossAx val="178158208"/>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Структура инвестиций в разрезе источников финансирования</a:t>
            </a:r>
          </a:p>
        </c:rich>
      </c:tx>
      <c:layout>
        <c:manualLayout>
          <c:xMode val="edge"/>
          <c:yMode val="edge"/>
          <c:x val="0.11803794188647765"/>
          <c:y val="2.3148148148148147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Лист1!$A$8</c:f>
              <c:strCache>
                <c:ptCount val="1"/>
                <c:pt idx="0">
                  <c:v>собственные средства</c:v>
                </c:pt>
              </c:strCache>
            </c:strRef>
          </c:tx>
          <c:invertIfNegative val="0"/>
          <c:dLbls>
            <c:dLbl>
              <c:idx val="0"/>
              <c:layout>
                <c:manualLayout>
                  <c:x val="2.5000000000000001E-2"/>
                  <c:y val="0"/>
                </c:manualLayout>
              </c:layout>
              <c:showLegendKey val="0"/>
              <c:showVal val="1"/>
              <c:showCatName val="0"/>
              <c:showSerName val="0"/>
              <c:showPercent val="0"/>
              <c:showBubbleSize val="0"/>
            </c:dLbl>
            <c:dLbl>
              <c:idx val="1"/>
              <c:layout>
                <c:manualLayout>
                  <c:x val="1.6666666666666666E-2"/>
                  <c:y val="-4.6296296296296294E-3"/>
                </c:manualLayout>
              </c:layout>
              <c:showLegendKey val="0"/>
              <c:showVal val="1"/>
              <c:showCatName val="0"/>
              <c:showSerName val="0"/>
              <c:showPercent val="0"/>
              <c:showBubbleSize val="0"/>
            </c:dLbl>
            <c:dLbl>
              <c:idx val="2"/>
              <c:layout>
                <c:manualLayout>
                  <c:x val="2.2222222222222223E-2"/>
                  <c:y val="4.6296296296296294E-3"/>
                </c:manualLayout>
              </c:layout>
              <c:showLegendKey val="0"/>
              <c:showVal val="1"/>
              <c:showCatName val="0"/>
              <c:showSerName val="0"/>
              <c:showPercent val="0"/>
              <c:showBubbleSize val="0"/>
            </c:dLbl>
            <c:dLbl>
              <c:idx val="3"/>
              <c:layout>
                <c:manualLayout>
                  <c:x val="1.9444444444444445E-2"/>
                  <c:y val="0"/>
                </c:manualLayout>
              </c:layout>
              <c:showLegendKey val="0"/>
              <c:showVal val="1"/>
              <c:showCatName val="0"/>
              <c:showSerName val="0"/>
              <c:showPercent val="0"/>
              <c:showBubbleSize val="0"/>
            </c:dLbl>
            <c:dLbl>
              <c:idx val="4"/>
              <c:layout>
                <c:manualLayout>
                  <c:x val="1.1111111111111112E-2"/>
                  <c:y val="0"/>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Лист1!$B$7:$F$7</c:f>
              <c:strCache>
                <c:ptCount val="5"/>
                <c:pt idx="0">
                  <c:v>2018 год</c:v>
                </c:pt>
                <c:pt idx="1">
                  <c:v>2019 год оценка</c:v>
                </c:pt>
                <c:pt idx="2">
                  <c:v>2020 год прогноз</c:v>
                </c:pt>
                <c:pt idx="3">
                  <c:v>2021 год прогноз</c:v>
                </c:pt>
                <c:pt idx="4">
                  <c:v>2022 год прогноз</c:v>
                </c:pt>
              </c:strCache>
            </c:strRef>
          </c:cat>
          <c:val>
            <c:numRef>
              <c:f>Лист1!$B$8:$F$8</c:f>
              <c:numCache>
                <c:formatCode>#,##0</c:formatCode>
                <c:ptCount val="5"/>
                <c:pt idx="0">
                  <c:v>15880.108</c:v>
                </c:pt>
                <c:pt idx="1">
                  <c:v>16119.89165</c:v>
                </c:pt>
                <c:pt idx="2">
                  <c:v>18350.136899999998</c:v>
                </c:pt>
                <c:pt idx="3">
                  <c:v>19787.814600000002</c:v>
                </c:pt>
                <c:pt idx="4">
                  <c:v>18133.421560000003</c:v>
                </c:pt>
              </c:numCache>
            </c:numRef>
          </c:val>
        </c:ser>
        <c:ser>
          <c:idx val="1"/>
          <c:order val="1"/>
          <c:tx>
            <c:strRef>
              <c:f>Лист1!$A$9</c:f>
              <c:strCache>
                <c:ptCount val="1"/>
                <c:pt idx="0">
                  <c:v>привлеченные средства</c:v>
                </c:pt>
              </c:strCache>
            </c:strRef>
          </c:tx>
          <c:invertIfNegative val="0"/>
          <c:dLbls>
            <c:dLbl>
              <c:idx val="0"/>
              <c:layout>
                <c:manualLayout>
                  <c:x val="2.2222222222222223E-2"/>
                  <c:y val="-6.9444444444444406E-2"/>
                </c:manualLayout>
              </c:layout>
              <c:showLegendKey val="0"/>
              <c:showVal val="1"/>
              <c:showCatName val="0"/>
              <c:showSerName val="0"/>
              <c:showPercent val="0"/>
              <c:showBubbleSize val="0"/>
            </c:dLbl>
            <c:dLbl>
              <c:idx val="1"/>
              <c:layout>
                <c:manualLayout>
                  <c:x val="2.2222222222222223E-2"/>
                  <c:y val="-7.407407407407407E-2"/>
                </c:manualLayout>
              </c:layout>
              <c:showLegendKey val="0"/>
              <c:showVal val="1"/>
              <c:showCatName val="0"/>
              <c:showSerName val="0"/>
              <c:showPercent val="0"/>
              <c:showBubbleSize val="0"/>
            </c:dLbl>
            <c:dLbl>
              <c:idx val="2"/>
              <c:layout>
                <c:manualLayout>
                  <c:x val="1.9444444444444497E-2"/>
                  <c:y val="-8.3333333333333287E-2"/>
                </c:manualLayout>
              </c:layout>
              <c:showLegendKey val="0"/>
              <c:showVal val="1"/>
              <c:showCatName val="0"/>
              <c:showSerName val="0"/>
              <c:showPercent val="0"/>
              <c:showBubbleSize val="0"/>
            </c:dLbl>
            <c:dLbl>
              <c:idx val="3"/>
              <c:layout>
                <c:manualLayout>
                  <c:x val="1.6666666666666666E-2"/>
                  <c:y val="-7.8703703703703665E-2"/>
                </c:manualLayout>
              </c:layout>
              <c:showLegendKey val="0"/>
              <c:showVal val="1"/>
              <c:showCatName val="0"/>
              <c:showSerName val="0"/>
              <c:showPercent val="0"/>
              <c:showBubbleSize val="0"/>
            </c:dLbl>
            <c:dLbl>
              <c:idx val="4"/>
              <c:layout>
                <c:manualLayout>
                  <c:x val="1.6666666666666666E-2"/>
                  <c:y val="-7.407407407407407E-2"/>
                </c:manualLayout>
              </c:layout>
              <c:showLegendKey val="0"/>
              <c:showVal val="1"/>
              <c:showCatName val="0"/>
              <c:showSerName val="0"/>
              <c:showPercent val="0"/>
              <c:showBubbleSize val="0"/>
            </c:dLbl>
            <c:dLbl>
              <c:idx val="5"/>
              <c:layout>
                <c:manualLayout>
                  <c:x val="2.2222222222222223E-2"/>
                  <c:y val="-7.8703703703703706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Лист1!$B$7:$F$7</c:f>
              <c:strCache>
                <c:ptCount val="5"/>
                <c:pt idx="0">
                  <c:v>2018 год</c:v>
                </c:pt>
                <c:pt idx="1">
                  <c:v>2019 год оценка</c:v>
                </c:pt>
                <c:pt idx="2">
                  <c:v>2020 год прогноз</c:v>
                </c:pt>
                <c:pt idx="3">
                  <c:v>2021 год прогноз</c:v>
                </c:pt>
                <c:pt idx="4">
                  <c:v>2022 год прогноз</c:v>
                </c:pt>
              </c:strCache>
            </c:strRef>
          </c:cat>
          <c:val>
            <c:numRef>
              <c:f>Лист1!$B$9:$F$9</c:f>
              <c:numCache>
                <c:formatCode>#,##0</c:formatCode>
                <c:ptCount val="5"/>
                <c:pt idx="0">
                  <c:v>660.11400000000003</c:v>
                </c:pt>
                <c:pt idx="1">
                  <c:v>848.41535000000113</c:v>
                </c:pt>
                <c:pt idx="2">
                  <c:v>1381.1931000000004</c:v>
                </c:pt>
                <c:pt idx="3">
                  <c:v>1489.4053999999996</c:v>
                </c:pt>
                <c:pt idx="4">
                  <c:v>1157.4524400000009</c:v>
                </c:pt>
              </c:numCache>
            </c:numRef>
          </c:val>
        </c:ser>
        <c:dLbls>
          <c:showLegendKey val="0"/>
          <c:showVal val="0"/>
          <c:showCatName val="0"/>
          <c:showSerName val="0"/>
          <c:showPercent val="0"/>
          <c:showBubbleSize val="0"/>
        </c:dLbls>
        <c:gapWidth val="75"/>
        <c:shape val="cylinder"/>
        <c:axId val="185059584"/>
        <c:axId val="184942592"/>
        <c:axId val="0"/>
      </c:bar3DChart>
      <c:catAx>
        <c:axId val="185059584"/>
        <c:scaling>
          <c:orientation val="minMax"/>
        </c:scaling>
        <c:delete val="0"/>
        <c:axPos val="b"/>
        <c:numFmt formatCode="General" sourceLinked="1"/>
        <c:majorTickMark val="none"/>
        <c:minorTickMark val="none"/>
        <c:tickLblPos val="nextTo"/>
        <c:crossAx val="184942592"/>
        <c:crosses val="autoZero"/>
        <c:auto val="1"/>
        <c:lblAlgn val="ctr"/>
        <c:lblOffset val="100"/>
        <c:noMultiLvlLbl val="0"/>
      </c:catAx>
      <c:valAx>
        <c:axId val="184942592"/>
        <c:scaling>
          <c:orientation val="minMax"/>
        </c:scaling>
        <c:delete val="1"/>
        <c:axPos val="l"/>
        <c:numFmt formatCode="#,##0" sourceLinked="1"/>
        <c:majorTickMark val="out"/>
        <c:minorTickMark val="none"/>
        <c:tickLblPos val="nextTo"/>
        <c:crossAx val="185059584"/>
        <c:crosses val="autoZero"/>
        <c:crossBetween val="between"/>
      </c:valAx>
      <c:spPr>
        <a:noFill/>
        <a:ln w="25400">
          <a:noFill/>
        </a:ln>
      </c:spPr>
    </c:plotArea>
    <c:legend>
      <c:legendPos val="b"/>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инвестиций в сфере добычи полезных ископаемых в разрезе предприятий, млн. руб.</a:t>
            </a:r>
          </a:p>
        </c:rich>
      </c:tx>
      <c:layout>
        <c:manualLayout>
          <c:xMode val="edge"/>
          <c:yMode val="edge"/>
          <c:x val="0.14198600174978127"/>
          <c:y val="9.2592592592592587E-2"/>
        </c:manualLayout>
      </c:layout>
      <c:overlay val="0"/>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Лист1!$A$12</c:f>
              <c:strCache>
                <c:ptCount val="1"/>
                <c:pt idx="0">
                  <c:v>ПАО Сургутнефтегаз</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Лист1!$B$11:$F$11</c:f>
              <c:strCache>
                <c:ptCount val="5"/>
                <c:pt idx="0">
                  <c:v>2018 год</c:v>
                </c:pt>
                <c:pt idx="1">
                  <c:v>2019 год оценка</c:v>
                </c:pt>
                <c:pt idx="2">
                  <c:v>2020 год прогноз</c:v>
                </c:pt>
                <c:pt idx="3">
                  <c:v>2021 год прогноз</c:v>
                </c:pt>
                <c:pt idx="4">
                  <c:v>2022 год прогноз</c:v>
                </c:pt>
              </c:strCache>
            </c:strRef>
          </c:cat>
          <c:val>
            <c:numRef>
              <c:f>Лист1!$B$12:$F$12</c:f>
              <c:numCache>
                <c:formatCode>0</c:formatCode>
                <c:ptCount val="5"/>
                <c:pt idx="0">
                  <c:v>9124.0939999999991</c:v>
                </c:pt>
                <c:pt idx="1">
                  <c:v>8930</c:v>
                </c:pt>
                <c:pt idx="2">
                  <c:v>9465</c:v>
                </c:pt>
                <c:pt idx="3">
                  <c:v>9194</c:v>
                </c:pt>
                <c:pt idx="4">
                  <c:v>4850</c:v>
                </c:pt>
              </c:numCache>
            </c:numRef>
          </c:val>
        </c:ser>
        <c:ser>
          <c:idx val="1"/>
          <c:order val="1"/>
          <c:tx>
            <c:strRef>
              <c:f>Лист1!$A$13</c:f>
              <c:strCache>
                <c:ptCount val="1"/>
                <c:pt idx="0">
                  <c:v>ТПП РИТЭКБелоярскнефть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Лист1!$B$11:$F$11</c:f>
              <c:strCache>
                <c:ptCount val="5"/>
                <c:pt idx="0">
                  <c:v>2018 год</c:v>
                </c:pt>
                <c:pt idx="1">
                  <c:v>2019 год оценка</c:v>
                </c:pt>
                <c:pt idx="2">
                  <c:v>2020 год прогноз</c:v>
                </c:pt>
                <c:pt idx="3">
                  <c:v>2021 год прогноз</c:v>
                </c:pt>
                <c:pt idx="4">
                  <c:v>2022 год прогноз</c:v>
                </c:pt>
              </c:strCache>
            </c:strRef>
          </c:cat>
          <c:val>
            <c:numRef>
              <c:f>Лист1!$B$13:$F$13</c:f>
              <c:numCache>
                <c:formatCode>0</c:formatCode>
                <c:ptCount val="5"/>
                <c:pt idx="0">
                  <c:v>5489.6</c:v>
                </c:pt>
                <c:pt idx="1">
                  <c:v>6071.6</c:v>
                </c:pt>
                <c:pt idx="2">
                  <c:v>8650.2999999999993</c:v>
                </c:pt>
                <c:pt idx="3">
                  <c:v>10331</c:v>
                </c:pt>
                <c:pt idx="4">
                  <c:v>12493</c:v>
                </c:pt>
              </c:numCache>
            </c:numRef>
          </c:val>
        </c:ser>
        <c:dLbls>
          <c:showLegendKey val="0"/>
          <c:showVal val="0"/>
          <c:showCatName val="0"/>
          <c:showSerName val="0"/>
          <c:showPercent val="0"/>
          <c:showBubbleSize val="0"/>
        </c:dLbls>
        <c:gapWidth val="75"/>
        <c:shape val="box"/>
        <c:axId val="190736256"/>
        <c:axId val="190737792"/>
        <c:axId val="0"/>
      </c:bar3DChart>
      <c:catAx>
        <c:axId val="19073625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90737792"/>
        <c:crosses val="autoZero"/>
        <c:auto val="1"/>
        <c:lblAlgn val="ctr"/>
        <c:lblOffset val="100"/>
        <c:noMultiLvlLbl val="0"/>
      </c:catAx>
      <c:valAx>
        <c:axId val="190737792"/>
        <c:scaling>
          <c:orientation val="minMax"/>
        </c:scaling>
        <c:delete val="1"/>
        <c:axPos val="l"/>
        <c:numFmt formatCode="0" sourceLinked="1"/>
        <c:majorTickMark val="out"/>
        <c:minorTickMark val="none"/>
        <c:tickLblPos val="nextTo"/>
        <c:crossAx val="190736256"/>
        <c:crosses val="autoZero"/>
        <c:crossBetween val="between"/>
      </c:valAx>
      <c:spPr>
        <a:noFill/>
        <a:ln w="25400">
          <a:noFill/>
        </a:ln>
      </c:spPr>
    </c:plotArea>
    <c:legend>
      <c:legendPos val="b"/>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Динамика развития потребительского рынка на территории Белоярского района, млн. рублей</a:t>
            </a:r>
          </a:p>
        </c:rich>
      </c:tx>
      <c:layout>
        <c:manualLayout>
          <c:xMode val="edge"/>
          <c:yMode val="edge"/>
          <c:x val="0.14829311130116227"/>
          <c:y val="0"/>
        </c:manualLayout>
      </c:layout>
      <c:overlay val="0"/>
    </c:title>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8.2158325714903613E-2"/>
          <c:y val="0.13420586356324227"/>
          <c:w val="0.91079352908601796"/>
          <c:h val="0.64738952956659457"/>
        </c:manualLayout>
      </c:layout>
      <c:bar3DChart>
        <c:barDir val="col"/>
        <c:grouping val="stacked"/>
        <c:varyColors val="0"/>
        <c:ser>
          <c:idx val="0"/>
          <c:order val="0"/>
          <c:tx>
            <c:strRef>
              <c:f>диаграммы!$A$102</c:f>
              <c:strCache>
                <c:ptCount val="1"/>
                <c:pt idx="0">
                  <c:v>Розничный товарооборот</c:v>
                </c:pt>
              </c:strCache>
            </c:strRef>
          </c:tx>
          <c:spPr>
            <a:solidFill>
              <a:schemeClr val="accent5">
                <a:lumMod val="75000"/>
              </a:schemeClr>
            </a:solidFill>
          </c:spPr>
          <c:invertIfNegative val="0"/>
          <c:dLbls>
            <c:dLbl>
              <c:idx val="1"/>
              <c:layout>
                <c:manualLayout>
                  <c:x val="1.6645859342488557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38B-4A8D-A0B3-850144F69D6A}"/>
                </c:ext>
              </c:extLst>
            </c:dLbl>
            <c:dLbl>
              <c:idx val="2"/>
              <c:layout>
                <c:manualLayout>
                  <c:x val="3.3291718684977114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8B-4A8D-A0B3-850144F69D6A}"/>
                </c:ext>
              </c:extLst>
            </c:dLbl>
            <c:dLbl>
              <c:idx val="3"/>
              <c:layout>
                <c:manualLayout>
                  <c:x val="3.3291718684977114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38B-4A8D-A0B3-850144F69D6A}"/>
                </c:ext>
              </c:extLst>
            </c:dLbl>
            <c:dLbl>
              <c:idx val="4"/>
              <c:layout>
                <c:manualLayout>
                  <c:x val="4.9937578027466276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38B-4A8D-A0B3-850144F69D6A}"/>
                </c:ext>
              </c:extLst>
            </c:dLbl>
            <c:dLbl>
              <c:idx val="5"/>
              <c:layout>
                <c:manualLayout>
                  <c:x val="4.9937578027465668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38B-4A8D-A0B3-850144F69D6A}"/>
                </c:ext>
              </c:extLst>
            </c:dLbl>
            <c:dLbl>
              <c:idx val="6"/>
              <c:layout>
                <c:manualLayout>
                  <c:x val="3.3291718684977114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8B-4A8D-A0B3-850144F69D6A}"/>
                </c:ext>
              </c:extLst>
            </c:dLbl>
            <c:dLbl>
              <c:idx val="7"/>
              <c:layout>
                <c:manualLayout>
                  <c:x val="4.9937578027465668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8B-4A8D-A0B3-850144F69D6A}"/>
                </c:ext>
              </c:extLst>
            </c:dLbl>
            <c:numFmt formatCode="#,##0.0" sourceLinked="0"/>
            <c:spPr>
              <a:noFill/>
              <a:ln>
                <a:noFill/>
              </a:ln>
              <a:effectLst/>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диаграммы!$B$101:$F$101</c:f>
              <c:strCache>
                <c:ptCount val="5"/>
                <c:pt idx="0">
                  <c:v>2018 год       отчет</c:v>
                </c:pt>
                <c:pt idx="1">
                  <c:v>2019 год     оценка</c:v>
                </c:pt>
                <c:pt idx="2">
                  <c:v>2020 год прогноз</c:v>
                </c:pt>
                <c:pt idx="3">
                  <c:v>2021 год прогноз</c:v>
                </c:pt>
                <c:pt idx="4">
                  <c:v>2022 год прогноз</c:v>
                </c:pt>
              </c:strCache>
            </c:strRef>
          </c:cat>
          <c:val>
            <c:numRef>
              <c:f>диаграммы!$B$102:$F$102</c:f>
              <c:numCache>
                <c:formatCode>#\ ##0.000</c:formatCode>
                <c:ptCount val="5"/>
                <c:pt idx="0">
                  <c:v>7152.5552039999975</c:v>
                </c:pt>
                <c:pt idx="1">
                  <c:v>7652.6475587532686</c:v>
                </c:pt>
                <c:pt idx="2">
                  <c:v>8055.6359791972163</c:v>
                </c:pt>
                <c:pt idx="3">
                  <c:v>8537.6852361923793</c:v>
                </c:pt>
                <c:pt idx="4">
                  <c:v>9082.9018153756242</c:v>
                </c:pt>
              </c:numCache>
            </c:numRef>
          </c:val>
          <c:extLst xmlns:c16r2="http://schemas.microsoft.com/office/drawing/2015/06/chart">
            <c:ext xmlns:c16="http://schemas.microsoft.com/office/drawing/2014/chart" uri="{C3380CC4-5D6E-409C-BE32-E72D297353CC}">
              <c16:uniqueId val="{00000007-D38B-4A8D-A0B3-850144F69D6A}"/>
            </c:ext>
          </c:extLst>
        </c:ser>
        <c:ser>
          <c:idx val="1"/>
          <c:order val="1"/>
          <c:tx>
            <c:strRef>
              <c:f>диаграммы!$A$103</c:f>
              <c:strCache>
                <c:ptCount val="1"/>
                <c:pt idx="0">
                  <c:v>Платные услуги</c:v>
                </c:pt>
              </c:strCache>
            </c:strRef>
          </c:tx>
          <c:spPr>
            <a:solidFill>
              <a:schemeClr val="accent6">
                <a:lumMod val="75000"/>
              </a:schemeClr>
            </a:solidFill>
          </c:spPr>
          <c:invertIfNegative val="0"/>
          <c:dLbls>
            <c:dLbl>
              <c:idx val="4"/>
              <c:layout>
                <c:manualLayout>
                  <c:x val="4.9937578027466276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38B-4A8D-A0B3-850144F69D6A}"/>
                </c:ext>
              </c:extLst>
            </c:dLbl>
            <c:dLbl>
              <c:idx val="5"/>
              <c:layout>
                <c:manualLayout>
                  <c:x val="3.3291718684977114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38B-4A8D-A0B3-850144F69D6A}"/>
                </c:ext>
              </c:extLst>
            </c:dLbl>
            <c:dLbl>
              <c:idx val="6"/>
              <c:layout>
                <c:manualLayout>
                  <c:x val="4.9937578027465668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38B-4A8D-A0B3-850144F69D6A}"/>
                </c:ext>
              </c:extLst>
            </c:dLbl>
            <c:dLbl>
              <c:idx val="7"/>
              <c:layout>
                <c:manualLayout>
                  <c:x val="4.9937578027465668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38B-4A8D-A0B3-850144F69D6A}"/>
                </c:ext>
              </c:extLst>
            </c:dLbl>
            <c:numFmt formatCode="#,##0.0" sourceLinked="0"/>
            <c:spPr>
              <a:noFill/>
              <a:ln>
                <a:noFill/>
              </a:ln>
              <a:effectLst/>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диаграммы!$B$101:$F$101</c:f>
              <c:strCache>
                <c:ptCount val="5"/>
                <c:pt idx="0">
                  <c:v>2018 год       отчет</c:v>
                </c:pt>
                <c:pt idx="1">
                  <c:v>2019 год     оценка</c:v>
                </c:pt>
                <c:pt idx="2">
                  <c:v>2020 год прогноз</c:v>
                </c:pt>
                <c:pt idx="3">
                  <c:v>2021 год прогноз</c:v>
                </c:pt>
                <c:pt idx="4">
                  <c:v>2022 год прогноз</c:v>
                </c:pt>
              </c:strCache>
            </c:strRef>
          </c:cat>
          <c:val>
            <c:numRef>
              <c:f>диаграммы!$B$103:$F$103</c:f>
              <c:numCache>
                <c:formatCode>#\ ##0.000</c:formatCode>
                <c:ptCount val="5"/>
                <c:pt idx="0">
                  <c:v>1700.3433608882196</c:v>
                </c:pt>
                <c:pt idx="1">
                  <c:v>1810.4150883553189</c:v>
                </c:pt>
                <c:pt idx="2">
                  <c:v>1916.8765476260533</c:v>
                </c:pt>
                <c:pt idx="3">
                  <c:v>2047.3199966920063</c:v>
                </c:pt>
                <c:pt idx="4">
                  <c:v>2182.4717789536326</c:v>
                </c:pt>
              </c:numCache>
            </c:numRef>
          </c:val>
          <c:extLst xmlns:c16r2="http://schemas.microsoft.com/office/drawing/2015/06/chart">
            <c:ext xmlns:c16="http://schemas.microsoft.com/office/drawing/2014/chart" uri="{C3380CC4-5D6E-409C-BE32-E72D297353CC}">
              <c16:uniqueId val="{0000000C-D38B-4A8D-A0B3-850144F69D6A}"/>
            </c:ext>
          </c:extLst>
        </c:ser>
        <c:ser>
          <c:idx val="2"/>
          <c:order val="2"/>
          <c:tx>
            <c:strRef>
              <c:f>диаграммы!$A$104</c:f>
              <c:strCache>
                <c:ptCount val="1"/>
                <c:pt idx="0">
                  <c:v>Общественное питание</c:v>
                </c:pt>
              </c:strCache>
            </c:strRef>
          </c:tx>
          <c:invertIfNegative val="0"/>
          <c:dLbls>
            <c:dLbl>
              <c:idx val="6"/>
              <c:layout>
                <c:manualLayout>
                  <c:x val="4.9937578027465668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38B-4A8D-A0B3-850144F69D6A}"/>
                </c:ext>
              </c:extLst>
            </c:dLbl>
            <c:dLbl>
              <c:idx val="7"/>
              <c:layout>
                <c:manualLayout>
                  <c:x val="4.9937578027465668E-3"/>
                  <c:y val="0"/>
                </c:manualLayout>
              </c:layout>
              <c:numFmt formatCode="#,##0.0" sourceLinked="0"/>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38B-4A8D-A0B3-850144F69D6A}"/>
                </c:ext>
              </c:extLst>
            </c:dLbl>
            <c:numFmt formatCode="#,##0.0" sourceLinked="0"/>
            <c:spPr>
              <a:noFill/>
              <a:ln>
                <a:noFill/>
              </a:ln>
              <a:effectLst/>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диаграммы!$B$101:$F$101</c:f>
              <c:strCache>
                <c:ptCount val="5"/>
                <c:pt idx="0">
                  <c:v>2018 год       отчет</c:v>
                </c:pt>
                <c:pt idx="1">
                  <c:v>2019 год     оценка</c:v>
                </c:pt>
                <c:pt idx="2">
                  <c:v>2020 год прогноз</c:v>
                </c:pt>
                <c:pt idx="3">
                  <c:v>2021 год прогноз</c:v>
                </c:pt>
                <c:pt idx="4">
                  <c:v>2022 год прогноз</c:v>
                </c:pt>
              </c:strCache>
            </c:strRef>
          </c:cat>
          <c:val>
            <c:numRef>
              <c:f>диаграммы!$B$104:$F$104</c:f>
              <c:numCache>
                <c:formatCode>#\ ##0.000</c:formatCode>
                <c:ptCount val="5"/>
                <c:pt idx="0">
                  <c:v>803.15582795287446</c:v>
                </c:pt>
                <c:pt idx="1">
                  <c:v>849.31319338532614</c:v>
                </c:pt>
                <c:pt idx="2">
                  <c:v>885.29010025712864</c:v>
                </c:pt>
                <c:pt idx="3">
                  <c:v>930.89847564217541</c:v>
                </c:pt>
                <c:pt idx="4">
                  <c:v>981.68829647321252</c:v>
                </c:pt>
              </c:numCache>
            </c:numRef>
          </c:val>
          <c:extLst xmlns:c16r2="http://schemas.microsoft.com/office/drawing/2015/06/chart">
            <c:ext xmlns:c16="http://schemas.microsoft.com/office/drawing/2014/chart" uri="{C3380CC4-5D6E-409C-BE32-E72D297353CC}">
              <c16:uniqueId val="{0000000F-D38B-4A8D-A0B3-850144F69D6A}"/>
            </c:ext>
          </c:extLst>
        </c:ser>
        <c:dLbls>
          <c:showLegendKey val="0"/>
          <c:showVal val="0"/>
          <c:showCatName val="0"/>
          <c:showSerName val="0"/>
          <c:showPercent val="0"/>
          <c:showBubbleSize val="0"/>
        </c:dLbls>
        <c:gapWidth val="44"/>
        <c:gapDepth val="92"/>
        <c:shape val="cylinder"/>
        <c:axId val="173212032"/>
        <c:axId val="173213568"/>
        <c:axId val="0"/>
      </c:bar3DChart>
      <c:catAx>
        <c:axId val="173212032"/>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73213568"/>
        <c:crosses val="autoZero"/>
        <c:auto val="1"/>
        <c:lblAlgn val="ctr"/>
        <c:lblOffset val="100"/>
        <c:noMultiLvlLbl val="0"/>
      </c:catAx>
      <c:valAx>
        <c:axId val="173213568"/>
        <c:scaling>
          <c:orientation val="minMax"/>
        </c:scaling>
        <c:delete val="0"/>
        <c:axPos val="l"/>
        <c:numFmt formatCode="#,##0.0" sourceLinked="0"/>
        <c:majorTickMark val="cross"/>
        <c:minorTickMark val="none"/>
        <c:tickLblPos val="nextTo"/>
        <c:spPr>
          <a:noFill/>
          <a:ln>
            <a:solidFill>
              <a:schemeClr val="bg1">
                <a:lumMod val="50000"/>
              </a:schemeClr>
            </a:solidFill>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73212032"/>
        <c:crosses val="autoZero"/>
        <c:crossBetween val="between"/>
      </c:valAx>
      <c:spPr>
        <a:noFill/>
        <a:ln w="25400">
          <a:noFill/>
        </a:ln>
      </c:spPr>
    </c:plotArea>
    <c:legend>
      <c:legendPos val="b"/>
      <c:layout>
        <c:manualLayout>
          <c:xMode val="edge"/>
          <c:yMode val="edge"/>
          <c:x val="2.6869300513465775E-4"/>
          <c:y val="0.93386680323496141"/>
          <c:w val="0.99973130699486534"/>
          <c:h val="6.6133196765038482E-2"/>
        </c:manualLayout>
      </c:layout>
      <c:overlay val="0"/>
      <c:txPr>
        <a:bodyPr/>
        <a:lstStyle/>
        <a:p>
          <a:pPr>
            <a:defRPr sz="105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Динамика среднедушевых доходов населения Белоярского района</a:t>
            </a:r>
          </a:p>
        </c:rich>
      </c:tx>
      <c:layout/>
      <c:overlay val="0"/>
    </c:title>
    <c:autoTitleDeleted val="0"/>
    <c:plotArea>
      <c:layout/>
      <c:barChart>
        <c:barDir val="col"/>
        <c:grouping val="clustered"/>
        <c:varyColors val="0"/>
        <c:ser>
          <c:idx val="0"/>
          <c:order val="0"/>
          <c:tx>
            <c:strRef>
              <c:f>диаграммы1!$A$3</c:f>
              <c:strCache>
                <c:ptCount val="1"/>
                <c:pt idx="0">
                  <c:v>Среднедушевые денежные доходы населения, руб.</c:v>
                </c:pt>
              </c:strCache>
            </c:strRef>
          </c:tx>
          <c:spPr>
            <a:gradFill rotWithShape="1">
              <a:gsLst>
                <a:gs pos="0">
                  <a:srgbClr val="C0504D">
                    <a:lumMod val="60000"/>
                    <a:lumOff val="4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7675804529201414E-2"/>
                  <c:y val="-1.966178278348117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87991718426501E-3"/>
                  <c:y val="1.475867599883347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01279527559055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553514144065325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1759834368530966E-3"/>
                  <c:y val="1.5252624671916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10152075626798E-3"/>
                  <c:y val="-3.903784178876374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диаграммы1!$B$2:$F$2</c:f>
              <c:strCache>
                <c:ptCount val="5"/>
                <c:pt idx="0">
                  <c:v>2018 год</c:v>
                </c:pt>
                <c:pt idx="1">
                  <c:v>2019 год оценка</c:v>
                </c:pt>
                <c:pt idx="2">
                  <c:v>2020 год прогноз</c:v>
                </c:pt>
                <c:pt idx="3">
                  <c:v>2021 год прогноз</c:v>
                </c:pt>
                <c:pt idx="4">
                  <c:v>2022 год прогноз</c:v>
                </c:pt>
              </c:strCache>
            </c:strRef>
          </c:cat>
          <c:val>
            <c:numRef>
              <c:f>диаграммы1!$B$3:$F$3</c:f>
              <c:numCache>
                <c:formatCode>#,##0_р_.</c:formatCode>
                <c:ptCount val="5"/>
                <c:pt idx="0">
                  <c:v>54202</c:v>
                </c:pt>
                <c:pt idx="1">
                  <c:v>54953.781739999999</c:v>
                </c:pt>
                <c:pt idx="2">
                  <c:v>55836.889012561791</c:v>
                </c:pt>
                <c:pt idx="3">
                  <c:v>56816.826414732241</c:v>
                </c:pt>
                <c:pt idx="4">
                  <c:v>57610.55747974605</c:v>
                </c:pt>
              </c:numCache>
            </c:numRef>
          </c:val>
        </c:ser>
        <c:dLbls>
          <c:showLegendKey val="0"/>
          <c:showVal val="0"/>
          <c:showCatName val="0"/>
          <c:showSerName val="0"/>
          <c:showPercent val="0"/>
          <c:showBubbleSize val="0"/>
        </c:dLbls>
        <c:gapWidth val="150"/>
        <c:axId val="194793856"/>
        <c:axId val="194795392"/>
      </c:barChart>
      <c:lineChart>
        <c:grouping val="standard"/>
        <c:varyColors val="0"/>
        <c:ser>
          <c:idx val="1"/>
          <c:order val="1"/>
          <c:tx>
            <c:strRef>
              <c:f>диаграммы1!$A$4</c:f>
              <c:strCache>
                <c:ptCount val="1"/>
                <c:pt idx="0">
                  <c:v>темп роста,%</c:v>
                </c:pt>
              </c:strCache>
            </c:strRef>
          </c:tx>
          <c:spPr>
            <a:ln w="25400" cap="flat" cmpd="sng" algn="ctr">
              <a:solidFill>
                <a:schemeClr val="accent2">
                  <a:shade val="50000"/>
                </a:schemeClr>
              </a:solidFill>
              <a:prstDash val="solid"/>
            </a:ln>
            <a:effectLst/>
          </c:spPr>
          <c:marker>
            <c:spPr>
              <a:solidFill>
                <a:schemeClr val="accent2"/>
              </a:solidFill>
              <a:ln w="25400" cap="flat" cmpd="sng" algn="ctr">
                <a:solidFill>
                  <a:schemeClr val="accent2">
                    <a:shade val="50000"/>
                  </a:schemeClr>
                </a:solidFill>
                <a:prstDash val="solid"/>
              </a:ln>
              <a:effectLst/>
            </c:spPr>
          </c:marker>
          <c:dLbls>
            <c:dLbl>
              <c:idx val="0"/>
              <c:layout>
                <c:manualLayout>
                  <c:x val="-4.6890123537895068E-2"/>
                  <c:y val="8.122329645503173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532675709001235E-2"/>
                  <c:y val="3.90295358649789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264282778462803E-2"/>
                  <c:y val="-5.80168776371308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диаграммы1!$B$2:$F$2</c:f>
              <c:strCache>
                <c:ptCount val="5"/>
                <c:pt idx="0">
                  <c:v>2018 год</c:v>
                </c:pt>
                <c:pt idx="1">
                  <c:v>2019 год оценка</c:v>
                </c:pt>
                <c:pt idx="2">
                  <c:v>2020 год прогноз</c:v>
                </c:pt>
                <c:pt idx="3">
                  <c:v>2021 год прогноз</c:v>
                </c:pt>
                <c:pt idx="4">
                  <c:v>2022 год прогноз</c:v>
                </c:pt>
              </c:strCache>
            </c:strRef>
          </c:cat>
          <c:val>
            <c:numRef>
              <c:f>диаграммы1!$B$4:$F$4</c:f>
              <c:numCache>
                <c:formatCode>0.0</c:formatCode>
                <c:ptCount val="5"/>
                <c:pt idx="0">
                  <c:v>104.38885138259502</c:v>
                </c:pt>
                <c:pt idx="1">
                  <c:v>101.387</c:v>
                </c:pt>
                <c:pt idx="2">
                  <c:v>101.607</c:v>
                </c:pt>
                <c:pt idx="3">
                  <c:v>101.755</c:v>
                </c:pt>
                <c:pt idx="4">
                  <c:v>101.39700000000001</c:v>
                </c:pt>
              </c:numCache>
            </c:numRef>
          </c:val>
          <c:smooth val="0"/>
        </c:ser>
        <c:dLbls>
          <c:showLegendKey val="0"/>
          <c:showVal val="0"/>
          <c:showCatName val="0"/>
          <c:showSerName val="0"/>
          <c:showPercent val="0"/>
          <c:showBubbleSize val="0"/>
        </c:dLbls>
        <c:marker val="1"/>
        <c:smooth val="0"/>
        <c:axId val="194442368"/>
        <c:axId val="194443904"/>
      </c:lineChart>
      <c:catAx>
        <c:axId val="1944423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4443904"/>
        <c:crosses val="autoZero"/>
        <c:auto val="1"/>
        <c:lblAlgn val="ctr"/>
        <c:lblOffset val="100"/>
        <c:noMultiLvlLbl val="0"/>
      </c:catAx>
      <c:valAx>
        <c:axId val="194443904"/>
        <c:scaling>
          <c:orientation val="minMax"/>
          <c:max val="110"/>
          <c:min val="100"/>
        </c:scaling>
        <c:delete val="0"/>
        <c:axPos val="l"/>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4442368"/>
        <c:crosses val="autoZero"/>
        <c:crossBetween val="between"/>
        <c:majorUnit val="2"/>
      </c:valAx>
      <c:catAx>
        <c:axId val="194793856"/>
        <c:scaling>
          <c:orientation val="minMax"/>
        </c:scaling>
        <c:delete val="1"/>
        <c:axPos val="b"/>
        <c:numFmt formatCode="General" sourceLinked="1"/>
        <c:majorTickMark val="out"/>
        <c:minorTickMark val="none"/>
        <c:tickLblPos val="nextTo"/>
        <c:crossAx val="194795392"/>
        <c:crosses val="autoZero"/>
        <c:auto val="1"/>
        <c:lblAlgn val="ctr"/>
        <c:lblOffset val="100"/>
        <c:noMultiLvlLbl val="0"/>
      </c:catAx>
      <c:valAx>
        <c:axId val="194795392"/>
        <c:scaling>
          <c:orientation val="minMax"/>
          <c:max val="62000"/>
          <c:min val="45000"/>
        </c:scaling>
        <c:delete val="0"/>
        <c:axPos val="r"/>
        <c:numFmt formatCode="#,##0_р_."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4793856"/>
        <c:crosses val="max"/>
        <c:crossBetween val="between"/>
        <c:majorUnit val="10000"/>
      </c:valAx>
    </c:plotArea>
    <c:legend>
      <c:legendPos val="b"/>
      <c:layout>
        <c:manualLayout>
          <c:xMode val="edge"/>
          <c:yMode val="edge"/>
          <c:x val="0.11203438664326675"/>
          <c:y val="0.86449117910894047"/>
          <c:w val="0.77593091388010349"/>
          <c:h val="8.1454533373201743E-2"/>
        </c:manualLayout>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ru-RU"/>
              <a:t>Динамика среднемесячной заработной платы работников на территории Белоярского района</a:t>
            </a:r>
          </a:p>
        </c:rich>
      </c:tx>
      <c:layout>
        <c:manualLayout>
          <c:xMode val="edge"/>
          <c:yMode val="edge"/>
          <c:x val="0.18688479720421688"/>
          <c:y val="1.9412500074059591E-3"/>
        </c:manualLayout>
      </c:layout>
      <c:overlay val="0"/>
    </c:title>
    <c:autoTitleDeleted val="0"/>
    <c:plotArea>
      <c:layout>
        <c:manualLayout>
          <c:layoutTarget val="inner"/>
          <c:xMode val="edge"/>
          <c:yMode val="edge"/>
          <c:x val="0.13382037632619867"/>
          <c:y val="0.18660647103085026"/>
          <c:w val="0.74057520978891722"/>
          <c:h val="0.60118821208297046"/>
        </c:manualLayout>
      </c:layout>
      <c:barChart>
        <c:barDir val="col"/>
        <c:grouping val="clustered"/>
        <c:varyColors val="0"/>
        <c:ser>
          <c:idx val="0"/>
          <c:order val="0"/>
          <c:tx>
            <c:strRef>
              <c:f>диаграммы1!$A$27</c:f>
              <c:strCache>
                <c:ptCount val="1"/>
                <c:pt idx="0">
                  <c:v>Среднемесячная заработная плата работников, руб.</c:v>
                </c:pt>
              </c:strCache>
            </c:strRef>
          </c:tx>
          <c:spPr>
            <a:gradFill rotWithShape="1">
              <a:gsLst>
                <a:gs pos="0">
                  <a:srgbClr val="FFFF00"/>
                </a:gs>
                <a:gs pos="100000">
                  <a:srgbClr val="F79646">
                    <a:lumMod val="60000"/>
                    <a:lumOff val="4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3474178403756082E-3"/>
                  <c:y val="1.463861881824598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035496590490119E-17"/>
                  <c:y val="1.205070617582039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3.48257822174034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3896713615023476E-3"/>
                  <c:y val="5.368135416481518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474178403755006E-3"/>
                  <c:y val="8.752954977693251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8607618799031338E-3"/>
                  <c:y val="2.6338256814963594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диаграммы1!$B$26:$F$26</c:f>
              <c:strCache>
                <c:ptCount val="5"/>
                <c:pt idx="0">
                  <c:v>2018 год</c:v>
                </c:pt>
                <c:pt idx="1">
                  <c:v>2019 год оценка</c:v>
                </c:pt>
                <c:pt idx="2">
                  <c:v>2020 год прогноз</c:v>
                </c:pt>
                <c:pt idx="3">
                  <c:v>2021 год прогноз</c:v>
                </c:pt>
                <c:pt idx="4">
                  <c:v>2022 год прогноз</c:v>
                </c:pt>
              </c:strCache>
            </c:strRef>
          </c:cat>
          <c:val>
            <c:numRef>
              <c:f>диаграммы1!$B$27:$F$27</c:f>
              <c:numCache>
                <c:formatCode>#,##0_р_.</c:formatCode>
                <c:ptCount val="5"/>
                <c:pt idx="0">
                  <c:v>90651</c:v>
                </c:pt>
                <c:pt idx="1">
                  <c:v>92169.404249999992</c:v>
                </c:pt>
                <c:pt idx="2">
                  <c:v>95395.333398749994</c:v>
                </c:pt>
                <c:pt idx="3">
                  <c:v>99020.356067902481</c:v>
                </c:pt>
                <c:pt idx="4">
                  <c:v>102981.17031061857</c:v>
                </c:pt>
              </c:numCache>
            </c:numRef>
          </c:val>
        </c:ser>
        <c:dLbls>
          <c:showLegendKey val="0"/>
          <c:showVal val="0"/>
          <c:showCatName val="0"/>
          <c:showSerName val="0"/>
          <c:showPercent val="0"/>
          <c:showBubbleSize val="0"/>
        </c:dLbls>
        <c:gapWidth val="150"/>
        <c:axId val="195388160"/>
        <c:axId val="195389696"/>
      </c:barChart>
      <c:lineChart>
        <c:grouping val="standard"/>
        <c:varyColors val="0"/>
        <c:ser>
          <c:idx val="1"/>
          <c:order val="1"/>
          <c:tx>
            <c:strRef>
              <c:f>диаграммы1!$A$28</c:f>
              <c:strCache>
                <c:ptCount val="1"/>
                <c:pt idx="0">
                  <c:v>темп роста, %</c:v>
                </c:pt>
              </c:strCache>
            </c:strRef>
          </c:tx>
          <c:spPr>
            <a:ln w="25400" cap="flat" cmpd="sng" algn="ctr">
              <a:solidFill>
                <a:schemeClr val="accent2">
                  <a:shade val="50000"/>
                </a:schemeClr>
              </a:solidFill>
              <a:prstDash val="solid"/>
            </a:ln>
            <a:effectLst/>
          </c:spPr>
          <c:marker>
            <c:spPr>
              <a:solidFill>
                <a:schemeClr val="accent2"/>
              </a:solidFill>
              <a:ln w="25400" cap="flat" cmpd="sng" algn="ctr">
                <a:solidFill>
                  <a:schemeClr val="accent2">
                    <a:shade val="50000"/>
                  </a:schemeClr>
                </a:solidFill>
                <a:prstDash val="solid"/>
              </a:ln>
              <a:effectLst/>
            </c:spPr>
          </c:marker>
          <c:dLbls>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диаграммы1!$B$26:$F$26</c:f>
              <c:strCache>
                <c:ptCount val="5"/>
                <c:pt idx="0">
                  <c:v>2018 год</c:v>
                </c:pt>
                <c:pt idx="1">
                  <c:v>2019 год оценка</c:v>
                </c:pt>
                <c:pt idx="2">
                  <c:v>2020 год прогноз</c:v>
                </c:pt>
                <c:pt idx="3">
                  <c:v>2021 год прогноз</c:v>
                </c:pt>
                <c:pt idx="4">
                  <c:v>2022 год прогноз</c:v>
                </c:pt>
              </c:strCache>
            </c:strRef>
          </c:cat>
          <c:val>
            <c:numRef>
              <c:f>диаграммы1!$B$28:$F$28</c:f>
              <c:numCache>
                <c:formatCode>#,##0.0_р_.</c:formatCode>
                <c:ptCount val="5"/>
                <c:pt idx="0">
                  <c:v>109.20414540601986</c:v>
                </c:pt>
                <c:pt idx="1">
                  <c:v>101.675</c:v>
                </c:pt>
                <c:pt idx="2">
                  <c:v>103.5</c:v>
                </c:pt>
                <c:pt idx="3">
                  <c:v>103.8</c:v>
                </c:pt>
                <c:pt idx="4">
                  <c:v>104</c:v>
                </c:pt>
              </c:numCache>
            </c:numRef>
          </c:val>
          <c:smooth val="0"/>
        </c:ser>
        <c:dLbls>
          <c:showLegendKey val="0"/>
          <c:showVal val="0"/>
          <c:showCatName val="0"/>
          <c:showSerName val="0"/>
          <c:showPercent val="0"/>
          <c:showBubbleSize val="0"/>
        </c:dLbls>
        <c:marker val="1"/>
        <c:smooth val="0"/>
        <c:axId val="195380736"/>
        <c:axId val="195382272"/>
      </c:lineChart>
      <c:catAx>
        <c:axId val="1953807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5382272"/>
        <c:crosses val="autoZero"/>
        <c:auto val="1"/>
        <c:lblAlgn val="ctr"/>
        <c:lblOffset val="100"/>
        <c:noMultiLvlLbl val="0"/>
      </c:catAx>
      <c:valAx>
        <c:axId val="195382272"/>
        <c:scaling>
          <c:orientation val="minMax"/>
          <c:max val="110"/>
          <c:min val="80"/>
        </c:scaling>
        <c:delete val="0"/>
        <c:axPos val="l"/>
        <c:numFmt formatCode="#,##0.0_р_."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5380736"/>
        <c:crosses val="autoZero"/>
        <c:crossBetween val="between"/>
      </c:valAx>
      <c:catAx>
        <c:axId val="195388160"/>
        <c:scaling>
          <c:orientation val="minMax"/>
        </c:scaling>
        <c:delete val="1"/>
        <c:axPos val="b"/>
        <c:numFmt formatCode="General" sourceLinked="1"/>
        <c:majorTickMark val="out"/>
        <c:minorTickMark val="none"/>
        <c:tickLblPos val="nextTo"/>
        <c:crossAx val="195389696"/>
        <c:crosses val="autoZero"/>
        <c:auto val="1"/>
        <c:lblAlgn val="ctr"/>
        <c:lblOffset val="100"/>
        <c:noMultiLvlLbl val="0"/>
      </c:catAx>
      <c:valAx>
        <c:axId val="195389696"/>
        <c:scaling>
          <c:orientation val="minMax"/>
          <c:max val="130000"/>
          <c:min val="70000"/>
        </c:scaling>
        <c:delete val="0"/>
        <c:axPos val="r"/>
        <c:numFmt formatCode="#,##0_р_."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95388160"/>
        <c:crosses val="max"/>
        <c:crossBetween val="between"/>
        <c:majorUnit val="10000"/>
      </c:valAx>
    </c:plotArea>
    <c:legend>
      <c:legendPos val="b"/>
      <c:layout>
        <c:manualLayout>
          <c:xMode val="edge"/>
          <c:yMode val="edge"/>
          <c:x val="0.10499213323472688"/>
          <c:y val="0.90207100241138016"/>
          <c:w val="0.77593077971607149"/>
          <c:h val="8.1454293382627441E-2"/>
        </c:manualLayout>
      </c:layout>
      <c:overlay val="0"/>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A6FE4-0CDD-49C1-921D-25A71F87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3699</TotalTime>
  <Pages>27</Pages>
  <Words>9422</Words>
  <Characters>53707</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Плетнёва Татьяна Васильевна</dc:creator>
  <cp:keywords/>
  <dc:description/>
  <cp:lastModifiedBy>Гончаренко Виктория Игоревна</cp:lastModifiedBy>
  <cp:revision>252</cp:revision>
  <cp:lastPrinted>2016-05-06T04:27:00Z</cp:lastPrinted>
  <dcterms:created xsi:type="dcterms:W3CDTF">2017-05-16T07:44:00Z</dcterms:created>
  <dcterms:modified xsi:type="dcterms:W3CDTF">2019-11-01T04:33:00Z</dcterms:modified>
</cp:coreProperties>
</file>